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40"/>
          <w:szCs w:val="48"/>
        </w:rPr>
        <w:outlineLvl w:val="2"/>
      </w:pPr>
      <w:r>
        <w:rPr>
          <w:rFonts w:ascii="Times New Roman" w:hAnsi="Times New Roman" w:cs="Times New Roman"/>
          <w:b/>
          <w:i w:val="0"/>
          <w:strike w:val="0"/>
          <w:sz w:val="32"/>
          <w:szCs w:val="40"/>
        </w:rPr>
        <w:t xml:space="preserve">Информация о научно-технологическом развитии Новосибирской облас</w:t>
      </w:r>
      <w:r>
        <w:rPr>
          <w:rFonts w:ascii="Times New Roman" w:hAnsi="Times New Roman" w:cs="Times New Roman"/>
          <w:b/>
          <w:i w:val="0"/>
          <w:strike w:val="0"/>
          <w:sz w:val="32"/>
          <w:szCs w:val="40"/>
        </w:rPr>
        <w:t xml:space="preserve">ти</w:t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Экономика знаний формирует условия, когда первенство в исследованиях и разработках, высокий темп освоения новых знаний и создания инновационной продукции являются ключевыми факторами, определяющими конкурентоспособность экономики.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Новосибирская область обладает огромным научно-исследовательским потенциалом. Новосибирский научный центр (далее - НН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Ц) - компактная территория (Академгородок, наукоград Кольцово, г. Бердск, р.п. Краснообск) с высокой концентрацией научного, научно-образовательного потенциала и уникальных компетенций мирового уровня, что позволяет реализовывать междисциплинарные проекты.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Ключевой вектор развития экономики знаний в Новосибирской области определяется </w:t>
      </w:r>
      <w:hyperlink r:id="rId8" w:tooltip="https://login.consultant.ru/link/?req=doc&amp;base=LAW&amp;n=379344&amp;dst=10001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4"/>
            <w:szCs w:val="32"/>
          </w:rPr>
          <w:t xml:space="preserve">Стратегией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 научно-технологического развития Российской Федерации, утвержденной Указом Президента РФ от 01.12.2016 N 642 "О Стратегии научно-технологического развития Российской Федерации" (далее - Стратегия НТР РФ).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 со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ответствии с предложениями Минэкономразвития России Новосибирская область определена одним из пилотных регионов по апробированию механизмов реализации Стратегии НТР РФ с акцентом на кооперацию научно-исследовательских институтов и промышленных предприятий.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40"/>
          <w:szCs w:val="48"/>
        </w:rPr>
        <w:outlineLvl w:val="3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32"/>
        </w:rPr>
        <w:t xml:space="preserve">Новосибирская область - крупнейший научный центр страны</w:t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Новосибирская область - крупнейший научно-образовательный и инновационный центр России. Регион стабильно входит в первую (высшую) группу рейтинга ин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новационного развития субъектов РФ по значению российского регионального инновационного индекса Высшей школы экономики и входит в группу "сильных инноваторов" в рейтинге инновационных регионов России Ассоциации инновационных регионов России (далее - АИРР).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Создание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Сибирского отделения Российской академии наук - крупнейшего научного центра на востоке России - позволило сформировать развитую научно-технологическую базу. В регионе созданы уникальные для России институциональные и инфраструктурные условия для осуществле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ния научной и инновационной деятельности. Основными элементами инновационной экосистемы Новосибирской области являются научные и образовательные организации, объекты инновационной инфраструктуры, инновационные компании и государственные институты развития.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Среди научных организаций в Новосибирской области расположены такие всемирно известные институты, как федеральное государственное бюджетное учреждение науки Институт ядерной физики им. Г.И. Будкера Сибирского отделения Российской акад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емии наук (далее - ИЯФ СО РАН), федеральное государственное бюджетное учреждение науки Институт теплофизики им. С.С. Кутателадзе Сибирского отделения Российской академии наук (далее - ИТ СО РАН), федеральное государственное бюджетное учреждение науки Инсти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тут катализа им. Г.К. Борескова Сибирского отделения Российской академии наук (далее - ИК СО РАН), федеральное государственное бюджетное научное учреждение Институт цитологии и генетики Сибирского отделения Российской академии наук (далее - ИЦиГ СО РАН), ф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едеральное государственное бюджетное учреждение науки Институт нефтегазовой геологии и геофизики им. А.А. Трофимука Сибирского отделения Российской академии наук (далее - ИНГГ СО РАН), федеральное государственное бюджетное учреждение науки Институт химичес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кой биологии и фундаментальной медицины Сибирского отделения Российской академии наук (далее - ИХБФМ СО РАН), федеральное государственное бюджетное учреждение науки Институт физики полупроводников им. А.В. Ржанова Сибирского отделения Российской академии 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аук (далее - ИФП СО РАН), федеральное государственное бюджетное учреждение науки Институт теоретической и прикладной механики им. С.А. Христиановича Сибирского отделения Российской академии наук (далее - ИТПМ СО РАН), федеральное государственное бюджетное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учреждение науки Институт математики им. С.Л. Соболева Сибирского отделения Российской академии наук (далее - ИМ СО РАН). Данные научные организации взаимодействуют со множеством партнеров, являющихся представителями всех макрогеографических регионов мира.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 наукограде Кольцово расположено федеральное бюджетное учреждение науки Государственный научный центр вирусологии и биотехнологии "Вектор" Федеральной службы по надзору в сфере защиты прав потребителей и благополучия человека (далее - ГНЦ ВБ "Вектор").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 сфере высокотехнологичной медицин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ы действуют такие крупные центры, как федеральное государственное бюджетное учреждение "Национальный медицинский исследовательский центр им. ак. Е.Н. Мешалкина" Министерства здравоохранения Российской Федерации (далее - ФГБУ "НМИЦ им. ак. Е.Н. Мешалкина"),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 федеральное государственное бюджетное учреждение "Новосибирский научно-исследовательский институт травматологии и ортопедии им. Я.Л. Цивьяна" Министерства здравоохранения Российской Федерации (далее - ФГБУ ННИИТиО им. Я.Л. Цивьяна), федеральное государств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енное бюджетное учреждение "Федеральный центр нейрохирургии" Министерства здравоохранения Российской Федерации (г. Новосибирск). Начата работа по формированию в регионе национальных исследовательских центров (первый такой центр создан на базе ИЦиГ СО РАН).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Научные организации региона являются активными участниками инновационного развития Новосибирской области и 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раны, принимая участие в работе технологических платформ, территориальных инновационных кластеров, в программе национальной технологической инициативы (далее - НТИ) по направлениям AeroNet, EnergyNet, HealthNet, NeuroNet, TehNet, AutoNet, MariNet, SafeNet.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На базе ведущих научно-исследовательских институтов в регионе созданы международные исследовательские центры, в которых российские ученые работают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вместе с зарубежными коллегами: центр коллективного пользования "Сибирский центр синхротронного и терагерцового излучения"; Федеральное государственное бюджетное учреждение науки Институт "Международный томографический центр" СО РАН и другие. Как правило,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эти центры ориентированы на совместное использование имеющихся в институтах научных установок национального и мирового масштаба, таких как ускорители на встречных пучках ИЯФ СО РАН, аэродинамические трубы ИТПМ СО РАН, аналитическая база ИК СО РАН и другие.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 регионе функционирует крупнейший в России центр агробиотехноло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гий, якорными институтами которого являются федеральное государственное бюджетное учреждение науки Сибирский федеральный научный центр агробиотехнологий Российской академии наук (далее - СФНЦА РАН), ИЦиГ СО РАН и федеральное государственное бюджетное учреж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дение науки Новосибирский институт органической химии им. Н.Н. Ворожцова Сибирского отделения Российской академии наук (далее - НИОХ СО РАН). Реализуется межрегиональная программа "Сибирская биотехнологическая инициатива", объединяющая крупные научно-иссле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довательские центры Сибирского федерального округа и компании биотехнологического профиля. В целом в Новосибирской области созданы все предпосылки для создания современных технологических цепочек по развитию агропромышленного комплекса Сибири. Помимо инсти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тутов СО РАН и крупных агропромышленных комплексов в состав инновационной агроэкосистемы входят объекты инновационной инфраструктуры, предприятия и организации биотехнологического профиля, ассоциация по развитию инновационного территориального кластера Нов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осибирской области в сфере биофармацевтических технологий "Биофарм", центр развития биотехнологий и медицины некоммерческое партнерство "Сиббиомед" и объединяющий сферу биофармацевтики и биотехнологии Научно-производственный кластер "Сибирский наукополис".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Междисциплинарны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е и комплексные исследования являются отличительной чертой СО РАН и способствуют не только решению научных проблем, но и взаимному развитию методов исследования, а также более эффективному использованию научной инфраструктуры и дорогостоящего оборудования.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40"/>
          <w:szCs w:val="48"/>
        </w:rPr>
        <w:outlineLvl w:val="3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32"/>
        </w:rPr>
        <w:t xml:space="preserve">Новосибирская область - крупнейший</w:t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32"/>
        </w:rPr>
        <w:t xml:space="preserve">образовательный центр страны</w:t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Новосибирская область является одним из крупнейших образовательных центров РФ.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Образовательные программы, направленные на формиро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вание инновационных компетенций, реализуются в федеральном государственном автономном образовательном учреждении высшего образования "Новосибирский национальный исследовательский государственный университет" (далее - НГУ), федеральном государственном бюдже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тном образовательном учреждении высшего образования "Новосибирский государственный технический университет" (далее - НГТУ), федеральном государственном бюджетном образовательном учреждении высшего образования "Новосибирский государственный медицинский унив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ерситет" (далее - НГМУ), федеральном государственном бюджетном образовательном учреждении высшего образования "Сибирский государственный университет путей сообщения" (далее - СГУПС), федеральном государственном бюджетном образовательном учреждении высшего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образования "Новосибирский государственный архитектурно-строительный университет" (далее - НГАСУ), федеральном государственном бюджетном образовательном учреждении высшего образования "Новосибирский государственный аграрный университет" (далее - НГАУ), фед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еральном государственном бюджетном образовательном учреждении высшего образования "Сибирский государственный университет телекоммуникаций и информатики" (далее - СибГУТИ), федеральном государственном бюджетном образовательном учреждении высшего образования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 "Сибирский государственный университет геосистем и технологий" (далее - СГУГиТ), федеральном государственном бюджетном образовательном учреждении высшего образования "Новосибирский государственный университет экономики и управления "НИНХ" (далее - НГУЭУ).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НГУ является одним из 15 российских университетов, участвующих в программе повышения конкурентоспособности для возможного попадания в сотню лучших вузов мира (проект "5/100"). Кроме того, НГУ является университетом НТИ.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Для подготовки кадров и привлече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ния талантливой молодежи к работе в фундаментальной науке и инжиниринге в НГУ развиваются межвузовские магистерские программы, создаются специализированные междисциплинарные кафедры, где к преподаванию привлекаются ведущие зарубежные и российские эксперты.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Совместно с научно-исследовательскими институтами и вузам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и Новосибирской области сформировался один из крупнейших в стране центр генерации кадров, в том числе в области информационных технологий. В регионе создана прочная основа для развития цифровой экономики в виде исследовательских компетенций и научных школ.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Новосибирская область располагает значительным потенциалом для запуска новых конкурентоспособных проектов в рамк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ах национального проекта по направлению "Цифровая экономика". Система высшей школы и профессионального образования готова принять вызов по подготовке требуемого количества специалистов самого высокого уровня, в том числе успешных инженеров и разработчиков.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Формирование лидерских команд и прорывных проектов основывается на достижениях и компетенциях Новосибирской математической школы и научной школы Computer Science, в частности, по таким направлениям, как криптография и криптоанализ, когнит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ивные технологии, машинное обучение, онтологическое, семантическое и имитационное моделирование сложных процессов, моделирование распределенных систем со сложной структурой, и заделах в других областях, имеющихся в ряде институтов ННЦ во главе с ИМ СО РАН.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Ведущими вузами для подготовки кадров по "цифровым" направлениям в Новосибирской области являются шесть крупнейших университетов: НГУ, НГТУ, СибГУТИ, СГУГиТ, СГУПС, НГУЭУ.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Наличие 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 регионе центров разработки таких крупных компаний, как "Яндекс", "ЦФТ", "Сбертех", "2ГИС", подтверждает тот факт, что Новосибирская область в настоящее время является одним из крупнейших в стране центров генерации кадров в сфере информационных технологий.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Для дальнейшего кадрового развития необходимо создание специализированных центров компетенций, аккредитованных по стандартам Ворлдскиллс Россия, на базе профессиональных образовательных организаций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 настоящий момент выделяют следующие ключевые проблемы, которые сдерживают развитие региона: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недостаточное число конкурентоспособных разработок и технологий высокой степени готовности;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низкое качество подготовки инновационных проектов для инвесторов;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низкий спрос на инновации, большое число конкурентоспособных разработок и технологий высокой степени готовности не находят своего внедрения в производство;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недостаточное использование потенциала Новосибирской области по совместному участию научных организаций, вузов и предприятий в исследованиях и разработках по приоритетным направлениям развития научно-технологического комплекса России;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отсутствие долгосрочных инвестиций;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отсутствие эффективной системы государственных институтов развития, сфокусированных на инновационное развитие;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недостаточное освоение эффективных механизмов коммерциализации и трансфера новых технологий и разработок;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нехватка инструментов снижения рисков инновационных проектов, привлечения российских и зарубежных инвестиций в научно-прикладные разработки и высокотехнологичные производства;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недостаток высококвалифицированных кадров для новой экономики Новосибирской области, основанной на знаниях;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несоответствие масштаба поддержки детско-юношеского технического творчества задачам инновационного развития Новосибирской области;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недостаточное развитие социокультурной среды и городской инфраструктуры для удержания и привлечения человеческого капитала, способного формировать экономику знаний.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Указанные проблемы диктуют необходимость дальнейшей настройки инновационной экосистемы региона. Консол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идация усилий всех субъектов инновационной деятельности и их системное взаимодействие обеспечат более динамичный рост высокотехнологичного сектора экономики Новосибирской области на основе сформированных базовых условий развития инновационной деятельности.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40"/>
          <w:szCs w:val="48"/>
        </w:rPr>
        <w:outlineLvl w:val="3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32"/>
        </w:rPr>
        <w:t xml:space="preserve">Внедрение научных разработок, инновационных</w:t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32"/>
        </w:rPr>
        <w:t xml:space="preserve">технологий в производство</w:t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Внедрение в производство является слабой сто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роной развития инновационного потенциала региона, однако в Новосибирской области уже есть примеры трансфера научных результатов в новые наукоемкие и высокотехнологичные бизнесы с высоким экспортным потенциалом, создание высокопроизводительных рабочих мест.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Базовым фактором для развития инжиниринговой деятельности является мощная фундаментальная наука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, проекты формата "мегасайенс", которые служат источником передовых научных знаний и научных компетенций и обеспечивают стабильное в долгосрочном плане развитие инжинирингового пояса. Основным "драйвером" развития инжиниринговой деятельности является, как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правило, предпринимательская инициатива. Частный бизнес (малый и средний) берет на себя роль инициатора и управляющую функцию в организации цепочки "от научного результата до рыночного/финансового результата", вкладывая свои компетенции, ресурсы и энергию.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Среди успешных примеров коммерциализации научных заделов институтов Академгородка в течение последних нескольких лет можно отметить следующие. ИЯФ СО РАН, который является одним из веду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щих мировых центров по ряду областей физики высоких энергий и ускорителей, физики плазмы и управляемого термоядерного синтеза, а также осуществляет выпуск современных ускорителей, интенсивных источников синхротронного излучения и другой уникальной техники.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ООО "Фабрика биополимеров" и другие дочерние предприятия ИХБФМ СО РАН ведут прикладные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исследования в области создания first-in-class биофармацевтических препаратов. Институт и его предприятия активно сотрудничают с крупными российскими и зарубежными фармацевтическими производителями, среди партнеров - Takeda, Bayer, ФармЭко, ОЗОН, Микроген.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Селекционно-семеноводческий центр ИЦИГ СО РАН - создание новых сортов картофеля с заданными характеристиками на основе современных селекционно-генетических технологий.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Компания OcSiAl - производство одностенных углеродных нанотрубок с уникальными для мирового рынка технико-экономически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ми характеристиками. Технология, разработанная компанией, позволяет вывести производство одностенных углеродных нанотрубок на промышленный уровень и впервые в мире делает их массовое внедрение экономически целесообразным. Базовая научная школа - ИТ СО РАН.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Научно-производственный комплекс Специальное конструкторско-технологическое бюро "Катализатор" (далее - СКТБ "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Катализатор") - национальный лидер в сфере разработки и производства катализаторов и адсорбентов для промышленности, в 2017 году вошел в рейтинг "ТехУспех" как лидер по объемам экспорта продукции, инжиниринговая школа основывается на разработках ИК СО РАН.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Компании лабораторной диагностики (АО "Вектор-Бест", ООО "Медико-биологи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ческий Союз" и другие) - разработка продуктовых линеек на всех современных диагностических платформах, основанных на научных достижениях ИХБФМ СО РАН, ГНЦ ВБ "Вектор". Новосибирские предприятия занимают более 50% российского рынка лабораторной диагностики.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Компании-разработчики и производители пробио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тиков и вакцин АО "Вектор-БиАльгам" и ООО "Био-Веста" производят вакцину против гепатита A, закваски для молочных заводов и сами пробиотики на основе сертифицированных молочных продуктов. Вакцина против гепатита A - уникальная российская разработка, стреми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тельно наращивающая долю рынка России и стран СНГ. Производимые этими компаниями пробиотики являются также чисто российскими продуктами, постепенно вытесняющими аналогичные зарубежные продукты. Эти продукты также были исходно разработаны в ГНЦ ВБ "Вектор".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Компания АО "Вектор-Медика" - производитель первого в России медицинского препарата на основе рекомбинантного препарата альфа-2-интерферона. Эти препараты также были исходно разработаны в ГНЦ ВБ "Вектор".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Компании-разработчики и производители молекулярно-биологических реагентов и ферментов: ООО "Биолабмикс" и другие. Они занимаются разработкой и производством нуклеозидов, нуклеотидов, олиго- и полинуклеотидов, ферментов обмена нуклеиновых кислот, 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екоторых биохимических реагентов и так далее для научно-исследовательской работы и биотехнологических производств. Компании занимают значительную долю российского рынка таких продуктов. Данные продукты разработаны на основе научных достижений ИХБФМ СО РАН.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Группа компаний "ТИОН" разрабатывает и производит промышленные решения в вопросах, связанных с чистотой и безопасностью воздушной среды на основе компетенций и разработок ИК СО РАН.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Уже сейчас более 30 обрабатывающих предприятий Новосибирской области выпускают инновационную продукцию. В их числе предприятия высокотехнологичного сектора эко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номики области, ведущие производители конкурентоспособной продукции, поставляющие ее на отечественный и зарубежный рынок: НПО "ЭЛСИБ" ПАО, ПАО "Сиблитмаш", АО "Катод", АО "НПЗ", ООО "Ангиолайн", ПАО "НЗХК", ОАО "Машзавод Труд", АО "НЭВЗ-Керамикс" и другие.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Перед Новосибирской областью стоит цель: обеспечение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 перехода к экономике знаний, становление Новосибирской области как центра науки, инноваций и высоких технологий мирового уровня, обеспечивающего динамичный рост экономики и создание благоприятных условий для развития человеческого капитала (далее - Цель).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Достижение поставленной Цели требуе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т координации усилий органов государственной власти на областном и федеральном уровнях, органов местного самоуправления, научных и образовательных организаций, бизнес-структур и общественности по решению следующих задач и основных направлений деятельности: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32"/>
        </w:rPr>
        <w:t xml:space="preserve">Задача 1.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 Сформировать сбалансированный и устойчиво развивающийся сектор исследований и разработок для обеспечения приоритетов научно-технологического развития Новосибирской области: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вовлечение научных организаций и университетов в решение задач социально-экономического развития региона, включая производственные задачи промышленных предприятий;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развитие инфраструктуры и поддержки функционирования центров коллективного пользования научно-технологическим оборудованием, экспериментального производства и инжиниринга;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поддержка в реализации проектов "мегасайенс" и проектов полного цикла - драйверов научного прогресса и технологических прорывов;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содействие обеспечению доступа исследовательских групп к национальным и международным информационным ресурсам;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содействие упрощению процедур закупок материалов и образцов для исследований и разработок;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оказание помощи в организации участия российских ученых и исследовательских групп в международных проектах, обеспечивающих доступ к новым компетенциям и (или) ресурсам, исходя из национальных интересов РФ;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поддержка научных исследований и разработок с участием международных компаний, научных институтов и университетов мирового уровня;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содействие в создании и развитии сетевых форм организации научной, научно-технической и инновационной деятельности, в том числе исследовательских, инженерно-производственных консорциумов, кластерных форм развития высокотехнологичного бизнеса;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оказание помощи в продвижении наиболее перспективных прорывных проектов, формировании научно-технологических заделов и междисциплинарных разработок;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проведение флагманских международных научных конференций в регионе по приоритетным темам (например генетика, биомедицинские технологии и так далее);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содействие созданию системы центров коллективного пользования в научной, инновационной и образовательной среде.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32"/>
        </w:rPr>
        <w:t xml:space="preserve">Задача 2.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 Обеспечить привлечение и удержание научных кадров: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формиров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ание целостной системы подготовки и профессионального роста научных и научно-педагогических кадров, обеспечивающей условия для осуществления молодыми учеными научных исследований и разработок, создания научных лабораторий и конкурентоспособных коллективов;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создание условий для увеличения заработной платы научных сотрудников;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обесп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ечение доступности жилья, комфортной среды проживания сотрудникам, занятым научными исследованиями и разработками, развитие культурной среды, досуга и спорта для ученых, инженеров, преподавателей, студентов и аспирантов, сотрудников инновационных компаний;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создание условий для эффективной работы ученых, инженеров, преподавателей, студентов и аспирантов на территории через инфраструктурные вложения в приборное и инструментальное перевооружение в образовательных и научных организациях;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создание условий подготовки высококвалифицированных кадров, продвижение профессий исследователя, инженера, развитие технопредпринимательства;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выделение грантов, премий и стипендий Правительства Новосибирской области для молодых ученых.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32"/>
        </w:rPr>
        <w:t xml:space="preserve">Задача 3.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 Сформировать компетенции инновационной деятельности: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создание системы поддержки талантливой молодежи, конкурсного отбора идей и проектов, системы специальной подготовки и сопровождения талантов и проектов;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реализация и поддержка проектов, мотивирующих детей школьного возраста к развитию инновационных компетенций (детский технопарк, детское телевидение, кружковое движение и так далее);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целевое обучение по компетенциям инновационной деятельности (заказчиком может быть как государство, так и крупнейшие компании региона);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переориентация системы образования на подготовку кадров для экономики знаний, содействие созданию межвузовских ма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гистерских центров инжиниринговой подготовки, максимальная адаптация учебных планов и программ к реальным задачам инновационного развития, развитие научных и инженерных школ в образовательных организациях, их интеграция с системой непрерывного образования.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32"/>
        </w:rPr>
        <w:t xml:space="preserve">Задача 4.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 Создать условия для повышения инновационной активности бизнеса и появления новых инновационных компаний: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оптимизация системы государственного упра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вления в инновационной сфере Новосибирской области и системы государственных институтов развития, инвентаризация и оптимизация всех имеющихся ресурсов для развития инновационной экосистемы, включая финансовые, кадровые, имущественные земельные и так далее;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создание "одного окна" для инноваторов;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стимулирование спроса на инновации в Новосибирской области;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государственная поддержка внедрения в производственный сектор Новосибирской области российских и международных разработок и инновационных технологий;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поддержка экспорта высокотехнологичной продукции;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создание системы полигонов и пилотных площадок для апробации инноваций;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создание стимулирующих условий для размещения инжиниринговых центров крупными высокотехнологичными компаниями и корпорациями в непосредс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твенной близости от Академгородка, для интенсификации научно-технического взаимодействия и обеспечения предприятий высококвалифицированными кадрами, подготовленными в образовательных организациях и научно-исследовательских институтах Новосибирской области;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развитие системы коммерциализации и трансфера новых технологий и разработок, развитие среды техноброкерства с целью эффективного продвижения инноваций на всех этапах от создания до выхода на рынок. Создание Би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ржи научно-технических проектов как рыночного инструмента интегратора и единой информационной площадки для доступа разработчиков НИОКР и НТР, предприятий высоких переделов, государственных и муниципальных заказчиков, венчурных инвесторов и иных участников;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развитие современной инвестиционной инфраструктуры в научно-технической сфере, в том числе венчурного финансирования;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совершенствование системы мер государственной поддержки субъектов инновационной деятельности и объектов инновационной инфраструктуры.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32"/>
        </w:rPr>
        <w:t xml:space="preserve">Задача 5.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 Создать условия для роста производительности труда на новой технологической, управленческой и кадровой основе: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стимулирование производственных предприятий к внедрению элементов "Индустрии 4.0" и повышению производительности труда через создание региональной системы "Цифровая промышленность";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реализация и поддержка программ повышения компьютерной грамотности, в том числе для людей старшего возраста;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реализация и поддержка программ дополнительного профессионального обучения актуальным навыкам и профессиям новой экономики для переподготовки кадров, в том числе с возможностью дистанционного обучения;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формирование и внедрение в систему аттестации и обучения государственных гражданских и муниципальных служащих требований к ключевым компетенциям по приоритетным направлениям новой экономики.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Кроме того, будут реализованы мероприятия, направленные на развитие инновационных и промышленных кластеров, парков, информация о которых отражена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4"/>
            <w:szCs w:val="32"/>
          </w:rPr>
          <w:t xml:space="preserve">разделах 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szCs w:val="32"/>
        </w:rPr>
        <w:t xml:space="preserve">"Инновационная инфраструктура и парковые проекты" 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szCs w:val="32"/>
        </w:rPr>
        <w:t xml:space="preserve"> "Кластеры"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Задачи и основные направления деятельности в сфере науки и инноваций будут реализовываться в рамках: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национального проекта "Цифровая экономика" в соответс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szCs w:val="32"/>
        </w:rPr>
        <w:t xml:space="preserve">твии с </w:t>
      </w:r>
      <w:hyperlink r:id="rId9" w:tooltip="https://login.consultant.ru/link/?req=doc&amp;base=LAW&amp;n=35802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4"/>
            <w:szCs w:val="32"/>
          </w:rPr>
          <w:t xml:space="preserve">Указом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szCs w:val="32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Президента РФ от 07.05.2018 N 204 "О национальных целях и стратегических задачах развития Российской Федерации на период до 2024 года";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национального проекта "Наука", разработанного в соответстви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szCs w:val="32"/>
        </w:rPr>
        <w:t xml:space="preserve">и с </w:t>
      </w:r>
      <w:hyperlink r:id="rId10" w:tooltip="https://login.consultant.ru/link/?req=doc&amp;base=LAW&amp;n=35802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4"/>
            <w:szCs w:val="32"/>
          </w:rPr>
          <w:t xml:space="preserve">Указом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szCs w:val="32"/>
        </w:rPr>
        <w:t xml:space="preserve"> През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идента РФ от 07.05.2018 N 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04 "О национальных целях и стратегических задачах развития Российской Федерации на период до 2024 года", в том числе путем участия в конкурсном отборе на создание научно-образовательного центра мирового уровня с участием ФГБУ "НМИЦ им. ак. Е.Н. Мешалкина";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проекта по развитию ННЦ (Академгородок 2.0);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кластерных и парковых проектов;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проекта "Региональные чемпионы";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32"/>
        </w:rPr>
      </w:r>
      <w:hyperlink r:id="rId11" w:tooltip="https://login.consultant.ru/link/?req=doc&amp;base=RLAW049&amp;n=100976&amp;dst=100018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4"/>
            <w:szCs w:val="32"/>
          </w:rPr>
          <w:t xml:space="preserve">программы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szCs w:val="32"/>
        </w:rPr>
        <w:t xml:space="preserve"> реинд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устриализации экономики Новосибирской области до 20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25 года, утвержденной постановлением Правительства Новосибирской области от 01.04.2016 N 89-п "Об утверждении программы реиндустриализации экономики Новосибирской области до 2025 года" (далее - программа реиндустриализации экономики Новосибирской области);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государственных программ Новосибирской области, направленных на: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стимулирование инвестиционной и инновационной активности в Новосибирской области;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развитие промышленности и повышение ее конкурентоспособности в Новосибирской области;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развитие субъектов малого и среднего предпринимательства в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Предоставление бюджетных средств из федерального бюджета в рамках государственной программы РФ "Научно-технологическое развитие Российской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Федерации", в том числе национального проекта "Наука", будет осуществляться в пределах бюджетных ассигнований федерального бюджета, предусмотренных на их реализацию на соответствующий бюджетный цикл, путем участия Новосибирской области в конкурсном отборе.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Фор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мированию экономики знаний, интеграции научных исследований и разработок в реальный сектор экономики региона, адаптации отраслей промышленности Новосибирской области к новому технологическому укладу будет способствовать реализация инвестиционных проектов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shd w:val="nil" w:color="auto"/>
        <w:rPr>
          <w:rFonts w:ascii="Times New Roman" w:hAnsi="Times New Roman" w:cs="Times New Roman"/>
          <w:b/>
          <w:i w:val="0"/>
          <w:strike w:val="0"/>
          <w:sz w:val="40"/>
          <w:szCs w:val="48"/>
          <w14:ligatures w14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Реализация </w:t>
      </w:r>
      <w:r>
        <w:rPr>
          <w:rFonts w:ascii="Times New Roman" w:hAnsi="Times New Roman" w:eastAsia="Times New Roman" w:cs="Times New Roman"/>
          <w:sz w:val="24"/>
          <w:szCs w:val="32"/>
        </w:rPr>
      </w:r>
      <w:bookmarkStart w:id="0" w:name="undefined"/>
      <w:r>
        <w:rPr>
          <w:rFonts w:ascii="Times New Roman" w:hAnsi="Times New Roman" w:eastAsia="Times New Roman" w:cs="Times New Roman"/>
          <w:sz w:val="24"/>
          <w:szCs w:val="32"/>
        </w:rPr>
      </w:r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стратегии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социально-экономического развития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Новосибирской области на период до 2030 года (далее - Стратегия НТР НСО)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 должна изменить роль науки и технологий в развитии Новосибирской области и привести к следующим результатам:</w:t>
      </w:r>
      <w:r>
        <w:rPr>
          <w:rFonts w:ascii="Times New Roman" w:hAnsi="Times New Roman" w:cs="Times New Roman"/>
          <w14:ligatures w14:val="none"/>
        </w:rPr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  <w14:ligatures w14:val="none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повысить качество жизни населения, обеспечить укрепление позиции Новосибирской области в глобальном рейтинге уровня жизни за счет создания на основе передовых научных исследований востребованных продуктов, товаров и услуг;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обеспечить технологическое обновление традиционных отраслей экономики и увеличение доли продукции новых высокотехнологичных и наукоемких отраслей в валовом региональном продукте;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об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еспечить продвижение технологий и инновационных продуктов Новосибирской области на новые рынки, рост доходов от экспорта высокотехнологичной продукции, услуг и прав на технологии и, как следствие, повысить конкурентоспособность региона на глобальном рынке;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создать эффективную систему организации исследований и разработок, обеспечивающую высокую результативность и востребованность в социально-экономической сф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ере исследований и разработок, рост инвестиций в исследования и разработки и увеличение доли частных инвестиций во внутренних затратах на исследования и разработки, привлекательность работы в Новосибирской области для наиболее перспективных исследователей.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 результате реализации Стратегии НТР НСО сфера науки, технологий и инноваций должна функционировать как единая инновационная экос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истема, интегрированная с социально-экономической системой региона и обеспечивающая конкурентоспособность Новосибирской области на мировом уровне. Уровень цитируемости публикаций должен превысить среднемировой уровень для соответствующих научных дисциплин.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Экономика Новосибирской области должна войти в глобальные рынки и цепочки создания добавленной стоимости по направлениям НТИ.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Результатом реализации Стратегии НТР НСО в сфере науки и инноваций будет являться достижение следующих значений показателей по инновационному сценарию к 2030 году: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доля продукции высокотехнологичных и наукоемких отраслей в ВРП увеличится до 39%;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коэффициент изобретательской активности (число отечественных патентов, заявок на изобретения, поданных в России) составит 2,41 на 10 тыс. человек населения;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внутренние затраты на исследования и разработки составят 8,7% к ВРП;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число патентов на изобретения, выданных Роспатентом российским заявителям, в расчете на 1 млн. человек населения составит 122 единицы;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количество грантов, премий и стипендий Правительства Новосибирской области для молодых ученых (ежегодно) составит 170 единиц;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удельный вес организаций, осуществляющих технологические инновации в отчетном году, в общем количестве обследованных организаций составит 18%;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доля инновационной продукции в общем объеме отгруженных товаров, выполненных работ, услуг достигнет 20%;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количество поддержанных проектов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(ежегодно) увеличится до 85 единиц.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40"/>
          <w:szCs w:val="48"/>
        </w:rPr>
        <w:outlineLvl w:val="3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32"/>
        </w:rPr>
        <w:t xml:space="preserve"> Новосибирский научный центр (Академгородок 2.0)</w:t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Целью развития ННЦ является формирование современного территориального научно-технологического и социально-экономического комплекса мирового уровня, обеспечивающего в целом и по ряду напр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авлений достижение к 2035 году научного и технологического лидерства региона и России, рост доходов на душу населения до уровня, сопоставимого с передовыми развитыми странами, и создание оптимальных условий для реализации и развития человеческого капитала.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При реализации проекта по развитию ННЦ будут решены следующие задачи: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развитие научной и научно-производственной кооперации;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развитие передовой инфраструктуры для проведения исследований и разработок;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развитие кадрового потенциала Сибири в сфере исследований и разработок;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развитие современной и комфортной социальной среды для жизни и реализации творческого потенциала.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 настоящее время на территории ННЦ существует экосистема взаимодействия "наука - образование - производство", реализующ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ая модель "Треугольник Лаврентьева", где сектор "производство" определяется малыми и средними высокотехнологичными компаниями и инновационной инфраструктурой. Эта модель определяет источники генерации новых знаний и обеспечение их внедрения в производство.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Результатом проекта по развитию ННЦ должно стать формирование модели развития отдельных регионов и территорий с высокой концентрацией исследований, разработок, инновационной инфраструктуры и производства. Эта модель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опирается на реиндустриализацию экономики, формирование пояса малых и средних инновационных компаний совместно с научными организациями и университетами, обеспечение связи с другими субъектами РФ в части, касающейся трансфера технологий, продуктов и услуг.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Таким образом, проект содержит следующие направления деятельности по трансформации модели "Треугольник Лаврентьева":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организационно-правовые преобразования территории, направленные на установление статуса ННЦ (в частности, целесообразно рассмотреть вопрос об установлении ННЦ особого экономического статуса);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организационные преобразования при формировании исследовательских задач;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формирование условий для развития кадрового потенциала;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создание системы управления интеллектуальной собственностью;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формирование условий для появления новых образовательных практик формирования новых компетенций в образовательных организациях;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развитие производственной инновационной среды;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развитие социальной и жилищной инфраструктуры на территории ННЦ.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Приоритетными направлениями исследований и разработок ННЦ, соответствующими Стратегии НТР РФ и имеющими существенный научно-технологический задел, признанные научные школы и установки национального масштаба, являются: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1) в научно-технологической деятельности: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естественно-научные направления (современная математика, системы искусст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венного интеллекта, ядерные технологии, механика, новые материалы, каталитические технологии, энергетика, приборостроение и наукоемкое оборудование; технологии поиска месторождений полезных ископаемых, биотехнологии, спутниковые и аэротехнологии и другие);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повышение безопасности и обороноспособности страны (противодействие техногенным, биогенным, социокультурным угрозам, терроризму и идеологическому экстремизму, киберугрозам и иным источникам опасности);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содействие повышению территориальной интеграции Сибири и России в целом за счет повышения научной, образовательной и научно-технологической коммуникабельности и создания интеллектуальных транспортных и телекоммуникационных систем;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2) участие в реализации НТИ по направлениям AeroNet, EnergyNet, HealthNet, NeuroNet, TehNet, AutoNet, MariNet, SafeNet.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 основе Приоритетного проекта "Развитие Новосибирского научного центра (Академгородок 2.0)" лежит реализация крупных научных проектов (в том числе прое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ктов класса "мегасайенс"), проектов "полного цикла" от фундаментальных исследований до конкретных высокотехнологических продуктов и прорывных технологий, полученных на основе максимально быстрого перехода от фундаментальной науки до конечного производства.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Общий объем необходимых инвести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ций в проекты по созданию научной и инновационной инфраструктуры (26 приоритетных проектов) составляет 372 млрд. рублей. Необходимый объем инвестиций в проекты по развитию социальной, инженерной и транспортной инфраструктуры ННЦ составляет 60 млрд. рублей.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Предоставление бюджетных средств из федерального бюджета в рамках государственной программы РФ "Научно-технологическое развитие Российской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Федерации", в том числе национального проекта "Наука", будет осуществляться в пределах бюджетных ассигнований федерального бюджета, предусмотренных на их реализацию на соответствующий бюджетный цикл, путем участия Новосибирской области в конкурсном отборе.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Реализация проекта по развитию ННЦ позволит достичь к 2035 году следующих результатов: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количество занятых в организациях науки, образования, в инновационных структурах достигнет 85,5 тыс. человек;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выручка (в ценах 2017 года) составит 330,2 млрд. рублей;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количество обучающихся в НГУ увеличится до 25 тыс. человек;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количество приглашенных зарубежных специалистов и иностранных студентов в НГУ достигнет 12,9 тыс. человек;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численность населения увеличится до 215 тыс. человек.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40"/>
          <w:szCs w:val="48"/>
        </w:rPr>
        <w:outlineLvl w:val="3"/>
      </w:pPr>
      <w:r>
        <w:rPr>
          <w:rFonts w:ascii="Times New Roman" w:hAnsi="Times New Roman" w:eastAsia="Times New Roman" w:cs="Times New Roman"/>
          <w:sz w:val="24"/>
          <w:szCs w:val="32"/>
        </w:rPr>
      </w:r>
      <w:bookmarkStart w:id="0" w:name="undefined"/>
      <w:r>
        <w:rPr>
          <w:rFonts w:ascii="Times New Roman" w:hAnsi="Times New Roman" w:eastAsia="Times New Roman" w:cs="Times New Roman"/>
          <w:sz w:val="24"/>
          <w:szCs w:val="32"/>
        </w:rPr>
      </w:r>
      <w:bookmarkEnd w:id="0"/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32"/>
        </w:rPr>
        <w:t xml:space="preserve"> Инновационная инфраструктура и парковые проекты</w:t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Необходимость сохранения сильной стороны региона, заключающейся в наличии благоприятных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условий для развития инноваций, а также в целях сокращения существенного разрыва между высоким научно-техническим потенциалом региона и реальной низкой восприимчивостью его производственной системы к инновациям в регионе реализуется важнейшее приоритетное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направление инновационной политики Новосибирской области - развитие инновационной инфраструктуры, обеспечивающей серьезные конкурентные преимущества региона. Базой для размещения инновационной инфраструктуры являются парковые проекты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На территории Новосибирско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й области имеется успешный опыт формирования государственных и негосударственных парковых проектов. Для обеспечения комфортных условий инвесторам и инновационным фирмам продолжится развитие инфраструктуры крупнейших парковых проектов Новосибирской области: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Научно-технологического парка Новосибирского Академгородка (далее - Академпарк);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Научно-технологического парка в сфере биотехнологий в наукограде Кольцово Новосибирской области (далее - Биотехнопарк);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Инновационного Медико-Технологического Центра (ИМТЦ) (далее - Медтехнопарк);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Медицинского промышленного парка (далее - Медпромпарк).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Академпарк - комплексный научно-технологический парк, обладающий уникальной инфраструктурой, позволяющей создать наи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лучшие условия для генерации и развития инновационных фирм. Площадь построенных объектов составляет более 100 тыс. кв. м. У Академпарка 209 резидентов, создано около 5 тыс. рабочих мест. В 2015 году Академпарк был признан самым успешным технопарком России.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Основными объектами инновационной инфраструктуры Академпарка, которые созданы и продолжат развитие в долгосрочной перспективе, являются: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Инжиниринговый центр комплексного мультиплатформенного тестирования программных продуктов и аппаратно-программных комплексов;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Региональный центр инжиниринга "IVD-инжиниринг";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Центр наноструктурированных материалов;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Центр промышленных биотехнологий "ПромБиоТех".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Особое внимание будет уделено развитию системы технологических сервисов 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кадемпарка, включающей в себя Центр технологического обеспечения, в структуре которого действует Центр прототипирования со спектром услуг от приборостроения до нанотехнологий; четыре инжиниринговых центра; Центр обработки данных; аналитическая лаборатория.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Академпарк располагает самым большим в России инкубатором технологий - комплексом специализированных бизнес-инкубаторов общей площадью 4760 кв. м, в которых разм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ещаются 264 сотрудника 114 начинающих компаний-резидентов. Он объединяет в себе четыре специализированных бизнес-инкубатора, работающих по направлениям: информационные технологии, приборостроение, биотехнологии и медицина, нанотехнологии и новые материалы.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Продолжит развитие созданная в Академпарке одна из самых эффективных акселерационных программ в России - инновационные школы Академпарка (би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знес-ускоритель А: СТАРТ). Цель школ - с помощью экспертов-практиков проработать проекты участников на предмет научно-технической и коммерческой состоятельности, провести тщательную экспертизу технологии, дать импульс для образования полноценного стартапа.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 целях развития социальной инфраструктуры и сохранения кадров Академпарка вблизи Академгородка, в 8 км от проспекта Лаврентьева в сторону горнолыжного комплекса "Ключи" на участке площадью 44 га ведется строительство жилищного поселка "Горки Академпарка".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Наукоград Кольцово отличается мощным научно-производственным потенциалом в области разработки и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оизводства диагностических и лекарственных препаратов. В целях дальнейшего развития компетенций Новосибирской области в сфере биофармацевтики было принято решение о создании Биотехнопарка в наукограде Кольцово, строительство объектов которого продолжается.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Биотехнопарк - современная инвестиционная площадка с необходимой инженерной и инновационной инфраструктурой для развития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 компаний в сфере фармацевтических, медицинских технологий и биотехнологий. Общая стоимость проекта составляет около 1 млрд. рублей. В декабре 2015 года был запущен важный объект инновационной инфраструктуры - Центр коллективного пользования Биотехнопарка.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 Центре коллективного пользования Биотехнопарка расположены: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Сибирский окружной центр сертификации и декларирования лекарственных средств;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испытательно-лабораторный центр с химико-аналитической и микробиологической лабораториями;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магистратура биотехнологического профиля НГУ;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образовательный центр, организующий курсы повышения квалификации для фармкомпаний;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детский технопарк, осуществляющий обучение по таким направлениям, как биотехнологии, робототехника, информационные технологии.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Развитие Биотехнопарка будет связано с полномасштабной реализацией потенциала данной инвестиционной площадки для развития в области биотехнологии, фармацевтики, производства медицинского оборудования и медицинских аксессуаров.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 2012 году в Новосибирской области был реализован еще один парковый проект: Медтехнопарк - частный комплексный технологический парк, решающий ключевую проблему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развития проектов в области медицины и здравоохранения - отсутствие инфраструктуры замкнутого цикла, ориентированной на вывод инновационных продуктов в практическое здравоохранение. Общий объем инвестиций в создание Медтехнопарка составил 1,6 млрд. рублей.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 июне 2016 года состоялось открытие первой очереди Медпромпарка, созданного на базе Медтехнопарка. Первая в 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ссии концессия в сфере медицины с федеральным участием. Целью создания Медпромпарка является переход от производства небольших серий к массовому производству инновационных продуктов и технологий в сфере медицины. Проект является заключительным этапом форми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рования специализированной инфраструктуры развития инновационных медицинских технологий замкнутого цикла на территории Новосибирской области. Медпромпарк является одним из "флагманских" проектов программы реиндустриализации экономики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Основными объектами инновационной инфраструктуры Медтехнопарка и Медпромпарка являются: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Центр прототипирования, специализирующийся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на создании прототипа инновационного продукта на основе научной идеи и (или) прототипа медицинской технологии, готовых к внедрению в практическое здравоохранение (фаза перехода от научной идеи к образцу, готовому к использованию в системе здравоохранения);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Центр инжиниринга, основной задачей которого является сопровождение инновационных компаний на этапе перехода от производства прототипа до серийного производства;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Инновационная клиника, занимающаяся апробацией и внедрением инновационных медицинских продуктов и технологий, допущенных к использованию в практическом здравоохранении.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Будет продолжено развитие Медпромпарка как пилотной производственной площадки, интегрированной в систему Мини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стерства здравоохранения РФ, целью которой является создание комплекса конкурентоспособных производств по выпуску медицинских изделий в сфере травматологии, ортопедии, нейрохирургии и других областях охраны здоровья, в том числе для целей импортозамещения.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Сеть инновационной инфраструктуры, созданная в образовательных организациях высшего образования (далее - Вузы), 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пособствует подготовке высокопрофессиональных кадров, обладающих уникальным опытом коммерциализации научных разработок, увеличению количества студентов, трудоустроенных в организации, осуществляющие инновационную деятельность. Инновационная инфраструктура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Вузов включает в себя: два технопарка, более 100 испытательных лабораторий, 12 центров коллективного пользования, 10 бизнес-инкубаторов, 10 инжиниринговых центров, 4 центра трансфера технологий. На базе инновационной инфраструктуры Вузов ведется работа поч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ти по 250 проектам в различных областях деятельности, в том числе в сфере архитектуры и строительства, связи, низкотемпературной плазмы и синтеза нанопленок, оптики и молекулярной физики, методов исследования наноструктур, приборостроения и геоинформатики.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 Новосибирской области продолжится создание детских технопарков, в том числе под брендом "Кванториум" в рамках соглашения с АСИ. С 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015 года в области развивается Детский технопарк в Академгородке, школьные и муниципальные детские технопарки. Кроме этого, создаются: ресурсные центры инженерных компетенций, STEM-центры, STEM-лаборатория НГУ, Центры молодежного инновационного творчества.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Основные проблемы создания инновационной инфраструктуры и развития парков заключаются в привлечении частных инвесторов.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Для достижения Цели в части формирования инновационной инфраструктуры и создания парковых проектов определены следующие задачи и основные направления деятельности.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32"/>
        </w:rPr>
        <w:t xml:space="preserve">Задача 6.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 Содействовать развитию инновационной инфраструктуры и парковых проектов: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продолжение развития объектов инновационной инфраструктуры в соответствии с запросом инновационных компаний, резидентов парковых проектов;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продолжение развития промышленных площадок для размещения средних высокотехнологичных компаний, инвентаризация и резервирование земельных участков для их размещения;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создание площадок для размещения малых инновационных компаний в формате промышленного технопарка с учетом роста запроса малого инновационного бизнеса на предоставление готовых помещений для размещения линий инновационного производства;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оптимизация системы мер государственной поддержки объектов инновационной инфраструктуры, включая управляющие компании парковых проектов, стимулирование создания частных парковых проектов и объектов инновационной инфраструктуры;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развитие "мягкой" инфраструктуры региональных институтов развития и парковых проектов по оказанию инноваторам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современных консалтинговых услуг в сфере маркетинга, патентования, сертификации, лицензирования, стратегического планирования бизнеса, оценки рыночной и залоговой стоимости объектов интеллектуальной собственности, информационного и медийного сопровождения;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развитие школ инновационного бизнеса, коммерциализации научных достижений и вовлечения в хозяйственный оборот продуктов интеллектуальной собственности;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определение новых стратегий развития государственных парковых проектов (Академпарк, Биотехнопарк), дополнение данных институтов развития новыми компетенциями для инноваторов.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Задачи и основные направления деятельности по развитию инновационной инфраструктуры и парковых проектов будут реализовываться в рамках: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Инвестиционной </w:t>
      </w:r>
      <w:hyperlink r:id="rId12" w:tooltip="https://login.consultant.ru/link/?req=doc&amp;base=RLAW049&amp;n=124472&amp;dst=100008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4"/>
            <w:szCs w:val="32"/>
          </w:rPr>
          <w:t xml:space="preserve">стратегии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szCs w:val="32"/>
        </w:rPr>
        <w:t xml:space="preserve"> Новосибирской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szCs w:val="32"/>
        </w:rPr>
        <w:t xml:space="preserve"> области до 2030 года, утвержденной постановлением Правительства Новос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ибирской области от 25.12.2014 N 541-п "Об утверждении Инвестиционной стратегии Новосибирской области до 2030 года" (далее - Инвестиционная стратегия Новосибирской области до 2030 года);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40"/>
          <w:szCs w:val="48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32"/>
        </w:rPr>
      </w:r>
      <w:hyperlink r:id="rId13" w:tooltip="https://login.consultant.ru/link/?req=doc&amp;base=RLAW049&amp;n=90204&amp;dst=100010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4"/>
            <w:szCs w:val="32"/>
          </w:rPr>
          <w:t xml:space="preserve">Концепции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szCs w:val="32"/>
        </w:rPr>
        <w:t xml:space="preserve"> парковой политики Новосибирской области, утвержденной постановлением Правительства Новосибирской области от 07.06.2016 N 160-п "Об утверждении Концепции парковой политики Новосибирской области" (далее - Концепция парковой политики Новосибирской области);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32"/>
        </w:rPr>
      </w:r>
      <w:hyperlink r:id="rId14" w:tooltip="https://login.consultant.ru/link/?req=doc&amp;base=RLAW049&amp;n=54596&amp;dst=100011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4"/>
            <w:szCs w:val="32"/>
          </w:rPr>
          <w:t xml:space="preserve">Концепции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szCs w:val="32"/>
        </w:rPr>
        <w:t xml:space="preserve"> клас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szCs w:val="32"/>
        </w:rPr>
        <w:t xml:space="preserve">терной политики Новосибирской области, утвержденной постановлением Правител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ьства Новосибирской области от 16.04.2012 N 187-п "Об утверждении Концепции кластерной политики Новосибирской области" (далее - Концепция кластерной политики Новосибирской области);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государственной программы Новосибирской области, направленной на стимулирование инвестиционной и инновационной активности в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Результатом реализации Стратегии НТР НСО по развитию инновационной инфраструктуры и парковых проектов будет являться достижение следующих значений показателей по инновационному сценарию к 2030 году: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темп роста количества резидентов действующих парковых проектов Новосибирской области, являющихся базой для размещения инновационной инфраструктуры, по сравнению с 2018 годом составит 120%;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объем налоговых поступлений в консолидированный бюджет Новосибирской области резидентов действующих парковых проектов Новосибирской области составит 1550 млн. рублей.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40"/>
          <w:szCs w:val="48"/>
        </w:rPr>
        <w:outlineLvl w:val="3"/>
      </w:pPr>
      <w:r>
        <w:rPr>
          <w:rFonts w:ascii="Times New Roman" w:hAnsi="Times New Roman" w:eastAsia="Times New Roman" w:cs="Times New Roman"/>
          <w:sz w:val="24"/>
          <w:szCs w:val="32"/>
        </w:rPr>
      </w:r>
      <w:bookmarkStart w:id="0" w:name="undefined"/>
      <w:r>
        <w:rPr>
          <w:rFonts w:ascii="Times New Roman" w:hAnsi="Times New Roman" w:eastAsia="Times New Roman" w:cs="Times New Roman"/>
          <w:sz w:val="24"/>
          <w:szCs w:val="32"/>
        </w:rPr>
      </w:r>
      <w:bookmarkEnd w:id="0"/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32"/>
        </w:rPr>
        <w:t xml:space="preserve"> Кластеры</w:t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Наличие благоприятных условий для развития инноваций в Новосибирской области позволит эффективно развивать на территории региона инновационные территориальные кластеры. Удачным местом размещ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ения кластеров служат парковые проекты. Такими примерами в регионе являются Академпарк, Биотехнопарк, Медтехнопарк, Промышленный медицинский парк. Новосибирская область является примером одной из лучших практик в стране по развитию инновационных кластеров.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Реализация кластерной политики способствует росту конкурентоспособности как каждого отдельного участника, так и всего кластера в целом за счет реализации потенциала эффективного взаимодействия участников кластера, связанного с расширением доступа к инно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вациям, технологиям, современным методам управления, новейшему оборудованию, специализированным услугам и высококвалифицированным кадрам, ростом возможностей привлечения инвестиций и выхода на международные рынки, а также снижением трансакционных издержек.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 целях координации взаимодействия участников процессов создания и развития кластеров, разработки и координации реализации кластерных проектов,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методического, организационного, маркетингового и иного сопровождения реализации кластерной политики на базе государственного казенного учреждения Новосибирской области "Центр регионального развития" создан Центр кластерного развития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 процессе трансформаций инновационной системы Новосибирской област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и и реализации федеральных инициатив в области кластерной политики в регионе сформировался Инновационный кластер информационных и биофармацевтических технологий Новосибирской области, вошедший в Перечень пилотных инновационных территориальных кластеров РФ.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40"/>
          <w:szCs w:val="48"/>
        </w:rPr>
        <w:outlineLvl w:val="4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32"/>
        </w:rPr>
        <w:t xml:space="preserve">Научно-производственный кластер "Сибирский наукополис"</w:t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Научно-производственный кластер "Сибирский наукополис"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(далее - НПК "Сибирский наукополис") является новым этапом развития Инновационного кластера информационных и биофармацевтических технологий Новосибирской области, включающим расширение кластера за счет добавления направления "Высокотехнологичная медицина".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Губернатором Новосибирской области 22.09.2016 утверждена Стратегия развития Научно-производственного кластера "Сибирский наукополис" до 2020 года (далее - Стратегия развития НПК "Си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бирский наукополис"), которая прошла конкурсный отбор на включение в перечень инновационных кластеров - участников приоритетного проекта Минэкономразвития России "Развитие инновационных кластеров - лидеров инвестиционной привлекательности мирового уровня".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Мероприятия Стратегии развития НПК "Сибирский наукополис" направлены на формирование и развитие мультидисциплина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рного кластера высокотехнологичных компаний с мировым уровнем инвестиционной привлекательности, основывающегося на высоком научно-техническом и кадровом потенциале Новосибирской области. Основными направлениями развития НПК "Сибирский наукополис" являются: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развитие инновационной и производственной инфраструктуры кластера;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поддержка научных исследований и разработок с международными компаниями, научными институтами и университетами мирового уровня;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обеспечение технологического лидерства по направлениям кластера;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развитие университетов и человеческого капитала;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создание полной цепочки добавленной стоимости внутри кластера за счет развития кооперации, в том числе с соседними регионами;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улучшение инвестиционного климата и активное привлечение инвесторов.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Территорией базирования кластера является г. Новосибирск, наукоград Кольцово и город-спутник Бердск. НПК "Сибирский наукополис" является кластером-интегратором и включает в себя субкластеры, представленные в таблице 5.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  <w:outlineLvl w:val="4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Таблица 5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32"/>
        </w:rPr>
        <w:t xml:space="preserve">Инновационные кластеры НПК "Сибирский наукополис"</w:t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747"/>
        <w:gridCol w:w="2664"/>
        <w:gridCol w:w="2721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Специализация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Спецорганизация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Ключевые участники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  <w:outlineLvl w:val="5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1. Кластер информационных технологий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Анализ больших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 массивов данных (Big Data), геоинформационные системы (ГИС) и системы автоматизированного проектирования (САПР), разработка и локализация мобильных приложений, автоматизированные системы управления технологическими процессами (АСУ ТП), облачные технологии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Ассоциация содействия развитию информационных технологий "СибАкадемСофт"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НЦИТ "УНИПРО",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НПК "Контакт",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"Модульные Системы Торнадо",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"Битриксоид",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"Дата Ист",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"Сибинфоцентр" и другие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  <w:outlineLvl w:val="5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2. Биофармацевтический кластер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Биофармацевтика, медицинские изделия, биотехнологическое оборудование, диагностикумы, функциональное питание, лечебно-профилактические продукты, продукты для ветеринарии, продукты для растениеводства, косметические средства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Ассоциация "Биофарм"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ГНЦ ВБ "Вектор",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АО "Вектор-БиАльгам",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АО "Вектор-Медика",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"Био-Веста",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"СибЭнЗайм",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ПО "Сиббиофарм",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ПО "Диа-Веста",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"СФМ Фарм", НИИФФМ,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ИЦиГ СО РАН,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ИХБФМ СО РАН,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АО "УК "БИОТЕХНОПАРК" и другие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  <w:outlineLvl w:val="5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3. Кластер биотехнологий и биомедицины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Производство и разработка систем тестирования, медицинского оборудования, реагентов для исследований в области молекулярной биологии, промышленные биотехнологии, сельскохозяйственные биотехнологии, базы данных (биоинформационные технологии)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Некоммерческое партнерство "Сибирский центр развития биотехнологий и медицины "Сиббиомед"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"Айрондир",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"Био-Веста М",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"БИОССЕТ",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"Медико-биологический Союз", ООО "МБС-Технология", ООО "Пилотный центр Промбиотех", ИХБФМ СО РАН,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ИЦиГ СО РАН и другие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  <w:outlineLvl w:val="5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4. Медико-технологический кластер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Разработка и производство наукоемкой медицинской продукции в сфере травматологии, ортопедии, нейрохирургии, неонатологии, реабилитологии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Автономная некоммерческая организация "Специализированная организация медико-технологического кластера Новосибирской области "Системные инновационные решения"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АО "ИМТЦ",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"Метос",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"НЭВЗ-Н",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"Технопроект",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"Эндосервис" и другие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  <w:outlineLvl w:val="5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5. Медико-биологический кластер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Научные исследования, разработка и производство лекарственных средств и медицинских изделий для высокотехнологичной сердечно-сосудистой хирургии, интервенционной кардиологии, онкологии, нейрохирургии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Ассоциация "Управляющая компания индустриального биомедицинского парка "Зеленая долина"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ФГБУ "НМИЦ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им. ак. Е.Н. Мешалкина",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"Ангиолайн",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"НПК "Эвипро" и другие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НПК "Сибирский наукополис" работае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т и проводит исследования вместе с такими ведущими компаниями мира, как Pfizer, Bayer, Intel, Schlumberger, BakerHuges, Astra Zeneca, Merck Sharp &amp; Co., Actelion Pharmaceuticals, Grifols Therapeutics, Medtronic Bakkeb Research Center B.V., Terumo и другие.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Развитие НПК "Сибирский наукополис" направл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ено на определение прорывных проектов, находящихся в области междисциплинарных исследований, развитие традиционных и создание принципиально новых рынков, обеспечение на этих направлениях научного и технологического лидерства компаний - участников кластера.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Перспективными рынками для продукции (продуктов, услуг) НПК "Сибирский наукополис" являются: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1) по направлению информационных технологий: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умные города;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ИТ-безопасность;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автоматизация производственных и технологических процессов;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программы для научных исследований и математического моделирования;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прогнозная аналитика и когнитивные решения;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компьютерные тренажеры, игры;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облачные технологии (SaaS, IaaS, PaaS);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системы виртуальной реальности;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геоинформационные системы;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промышленный интернет и интернет вещей;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Big Data;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2) по направлению биотехнологий и биофармацевтики: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промышленные биотехнологии;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агробиотехнологии (биологические средства защиты растений, новые сорта сельскохозяйственных культур, продукты для животноводства и так далее);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биофармацевтика (моноклональные антитела, субстанции антибиотиков, рекомбинантные препараты, вакцины);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ферменты;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биопестициды;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антибактериальные препараты;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3) по направлению высокотехнологичной медицины: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медицинские изделия и оборудование;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тканеинженерные конструкции;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генная терапия;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ортопедические имплантаты;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биосовместимые материалы;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персонифицированная медицина и таргетные технологии;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регенеративная медицина и клеточные технологии;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телемедицина.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Данные перспективные рынки НПК "Сибирский наукополис" соответствуют таким направлениям Национальной технологической инициативы, как SafeNet, HealthNet, AeroNet, NeuroNet.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40"/>
          <w:szCs w:val="48"/>
        </w:rPr>
        <w:outlineLvl w:val="4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32"/>
        </w:rPr>
        <w:t xml:space="preserve">Развитие промышленных кластеров</w:t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Наряду с развитием НПК "Сибирский наукополис" перспективным являетс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я формирование кластеров, охватывающих направления сельского хозяйства, машиностроения, металлургии, приборостроения и новых материалов. В настоящий момент проходят стадию институционального оформления и разрабатывают программы развития следующие кластеры: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кластер производителей сельскохозяйственной техники, машин и оборудования;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Первый зерновой кластер;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Сибирский металлурго-машиностроительный кластер аддитивных цифровых технологий и производств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Цель создания кластера производителей сельскохозяйственной техники, машин и оборудования - выпуск современной наукоемкой техники для нужд сельского хозяйства,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позволяющей сельхозтоваропроизводителям снизить себестоимость, увеличить производительность труда и повысить качество продукции. Специализированной организацией кластера выступает Ассоциация производителей сельскохозяйственной техники "НовосибирскАгроМаш".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Основными задачами кластера явля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ются привлечение в отрасль дополнительных финансовых средств для развития производства и выпуска высококонкурентной сельскохозяйственной техники, содействие в обновлении технологической базы предприятий, а также развитие и расширение кооперационных связей.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Первый зерновой кластер создан с целью консолидации усилий и действий членов кластера по защите интересов российских производителей сельскохозяйственной и промышленной продукции и повышения эффективно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сти производства зерна и продуктов его переработки. Специализированной организацией кластера выступает Ассоциация "Специализированная организация промышленного кластера производителей сельскохозяйственной и промышленной продукции "Первый зерновой кластер".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Цель Сибирского металлурго-машиностроительного кластера аддитивных цифровых технологий и производств - создание цифрового производства металлических изделий по аддитивным технологиям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на основе собственного производства аддитивных машин, включая 3D-принтеры, и порошковых материалов. Специализированной организацией кластера является Ассоциация "Сибирский металлурго-машиностроительный кластер цифровых аддитивных технологий и производств".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На уровне кластерной инициативы с перспекти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вой развития к 2023 году зафиксировано формирование еще трех кластеров: кластер электроприводов и энергоустановок (НГТУ, "Ассоциация производителей энергоустановок и приводов"), приборостроительный кластер (ООО "СИГМА.Новосибирск", ООО "Гарс", ИФП СО РАН,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федеральное государственное бюджетное учреждение науки Институт гидродинамики им. М.А. Лаврентьева Сибирского отделения Российской академии наук, НГУ, АО "НМЗ "Искра", ООО "НППГА "Луч", АО "НИИЭП", ООО "Унискан" и другие) и кластер систем хранения энергии.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Кластер электроприводов и энергоустановок формируется на научной базе НГТУ и уже имеет оформленную специализированную организацию - "Ассоциацию производителей энергоустановок и приводов". Создание кластера обеспечит эффективное взаимодействие организаций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 разработке и внедрению инновационных технологий, созданию крупного современного производства по выпуску комплектных электроприводов и автономных энергетических установок для транспортных объектов, в промышленности, секторах малой или распределенной энерг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етики. Деятельность участников кластера будет направлена на вывод продукции на инновационные международные энергетические и автомобилестроительные рынки - одни из самых быстрорастущих в последнем десятилетии (прогнозируется прирост до 35% в среднем в год).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Приборостроительный кластер обеспечит взаимодействие инжиниринговых, фундаментальных, образовательных, промышленных предприятий (заготовительные предприятия, предприятия по изготовлению механических деталей и электронных комплект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ующих, конструкторско-технологический (инжиниринговый) сервис, аналитическая и испытательная лаборатории и логистический сервис). Кластер включает в себя комплекс технологических и производственных участков, ориентированных на приборостроительные компании.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Принимая во вниман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ие оценку Роснано и Центра стратегических разработок об объемах мирового и российского рынка систем накопления энергии (далее - СНЭ) и потенциального эффекта от развития рынка СНЭ для экономики РФ, в настоящее время формируется кластерная инициатива для уд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овлетворения растущей потребности на системы накопления электрической энергии в России и мире. В рамках формирования промышленного кластера систем хранения энергии предлагается объединить ресурсы компаний, участвующих в реализации первых пилотных проектов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 данном сегменте рынка. В числе первоочередных задач кластера выступает процесс организации выпуска многофункционального промышленного продукта "Интеллектуальные системы накопления электрической энергии" для обеспечения спроса на системы хранения энергии.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szCs w:val="32"/>
        </w:rPr>
        <w:t xml:space="preserve">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4"/>
            <w:szCs w:val="32"/>
          </w:rPr>
          <w:t xml:space="preserve">таблице 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szCs w:val="32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представлена структура перспективных кластеров.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Развитие кластеров Новосибирской области до 2030 года будет проходить в русле Стратегии НТР РФ, а также программы "Цифровая экономика Российской Федерации".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 период до 2023 года планируется развитие кластера строительных технологий и материалов. Предпосылкой формирования этого кластера является наличие развитого строительного комплекса в Новосибирской области, 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арактеризующегося не только значительным промышленно-производственным потенциалом, подкрепленным наличием природного сырья, но и возможностями внедрения инновационных компонентов и технологий, разработанных на базе научных институтов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Значимым для развития кластера строительных технологий и материал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ов будет получение статуса ТОСЭР р.п. Горный - перспективной базовой площадки для размещения крупных инвестиционных проектов в сфере производства неметаллической минеральной продукции, переработки полезных ископаемых и производства строительных материалов.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  <w:outlineLvl w:val="4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Таблица 6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sz w:val="24"/>
          <w:szCs w:val="32"/>
        </w:rPr>
      </w:r>
      <w:bookmarkStart w:id="0" w:name="undefined"/>
      <w:r>
        <w:rPr>
          <w:rFonts w:ascii="Times New Roman" w:hAnsi="Times New Roman" w:eastAsia="Times New Roman" w:cs="Times New Roman"/>
          <w:sz w:val="24"/>
          <w:szCs w:val="32"/>
        </w:rPr>
      </w:r>
      <w:bookmarkEnd w:id="0"/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32"/>
        </w:rPr>
        <w:t xml:space="preserve">Перспективные кластерные инициативы</w:t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329"/>
        <w:gridCol w:w="3401"/>
        <w:gridCol w:w="3401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Специализация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Спецорганизация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Ключевые участники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1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  <w:outlineLvl w:val="5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1. Первый зерновой кластер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Производство и переработка сельскохозяйственной продукции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Ассоциация "Специализированная организация промышленного кластера производителей сельскохозяйственной и промышленной продукции "Первый зерновой кластер"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"Агропромспецдеталь",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"Регион-Экспертиза",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"Инно-тех",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"Ассоциация",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"СВС-Агро",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"Региональная компания",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НГАУ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1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  <w:outlineLvl w:val="5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2. Сибирский металлурго-машиностроительный кластер аддитивных цифровых технологий и производств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Металлургия, машиностроение, аддитивные технологии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Ассоциация "Сибирский металлурго-машиностроительный кластер аддитивных цифровых технологий и производств"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"Эпос-Инжиниринг",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"ВСЭ",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ИЛФ СО РАН,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"СИЭЛ",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"НЗХК-Инструмент",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ИХТТМ СО РАН,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НГТУ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1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  <w:outlineLvl w:val="5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3. Кластер сельхозмашиностроения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Сельскохозяйственное машиностроение, оборудование для агропромышленного комплекса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Ассоциация производителей сельскохозяйственной техники "НовосибирскАгроМаш"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СП "Унисибмаш",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"Сибагротехнопарк",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"Бротех",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АО "Агросиблизинг" и другие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1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  <w:outlineLvl w:val="5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4. Кластер электроприводов и энергоустановок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Электротехническая промышленность (электромеханика)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Ассоциации производителей энергоустановок и приводов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АО "Электроагрегат",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"Сибэлектропривод",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АО "НЗР "Оксид",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НГТУ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1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  <w:outlineLvl w:val="5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5. Кластер приборостроения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Электроника и радиотехника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В стадии формирования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"Гарс",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"СИГМА.Новосибирск" и другие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1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  <w:outlineLvl w:val="5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6. Кластер систем хранения энергии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Энергетика (системы накопления электрической энергии)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Формируется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"СНЭ",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"СПТ",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"Лиотех-Инновации",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ООО ГК "Элтранс",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ПАО "НЗХК",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АО "НЗР "Оксид",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32"/>
              </w:rPr>
              <w:t xml:space="preserve">НГТУ и другие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40"/>
                <w:szCs w:val="48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Одним из ключевых российских центров по научным разработкам и производству современных катализаторов является Новосибирская область. Использование современных каталитических процессов в существенной степени определяет общий технологический уровень страны.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ИК СО РАН и СКТБ "Катализатор" в настоящее время создается Национальный центр инжиниринга и испытаний катализаторов для вторичных процессов нефтепереработки, который должен стать российским лидером в данном направлении. Их стратегическое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артнерство с привлечением других научных и учебных организаций и предприятий региона (в первую очередь НГУ) позволит сформировать в Новосибирской области Катализаторный кластер по исследованиям, испытаниям и производству катализаторов для нефтепереработки.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К 2030 году новым этапом в развитии кластеров должно стать межклас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терное взаимодействие - реализация совместных проектов двумя или несколькими кластерами. В особенности стремительное развитие информационных технологий и рынков НТИ приведет к активному взаимодействию ИТ-кластера в совместных проектах с другими кластерами.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Специфика новых формирующихся отраслей и рынков будет способствовать формированию кластерных инициатив для последующего их оформления и включения в государственный реестр кластеров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Основной проблемой при формировании инновационных кластеров является отсутствие устойчивых связей между основными его элементами в процессе создания инновационной продукции (спрос - НИОКР - производство).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Для достижения Цели в части развития кластеров определены следующие задачи и основные направления деятельности.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32"/>
        </w:rPr>
        <w:t xml:space="preserve">Задача 7.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 Содействовать развитию инновационных и промышленных кластеров: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обеспечение эффективного функционирования инфраструктуры, обеспечивающей реализацию кластерной политики Новосибирской области;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формирование условий для эффективного организационного развития кластеров, включая выявление потенциальных участников кластера, разработку программы развития кластера и стимулирование объединения потенциальных участников в целях создания кластера;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подготовка промышленных площадок для размещения высокотехнологичных компаний, развитие сети парковых проектов, включая промышленные технопарки для малых инновационных компаний, упрощение доступа к земельным ресурсам;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развитие инновационной и производственной инфраструктуры НПК "Сибирский наукополис";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создание полной цепочки добавленной стоимости в Новосибирской области за счет развития кооперации, в том числе с соседними регионами в рамках НПК "Сибирский наукополис";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развитие межкластерного взаимодействия при реализации совместных проектов двумя или несколькими кластерами;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содействие активному взаимодействию ИТ-кластера в совместных проектах с другими кластерами;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обеспечение эффективной поддержки кластерных проектов с учетом приоритетных направлений развития экономики.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Задачи и основные направления деятельности в сфере развития кластерных проектов будут реализовываться в рамках: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Инвестиционной стратегии Новосибирской области до 2030 года;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Концепции парковой политики Новосибирской области;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Концепции кластерной политики Новосибирской области;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государственной программы Новосибирской области, направленной на стимулирование инвестиционной и инновационной активности в Новосибирской области;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Стратегии развития научно-производственного кластера "Сибирский наукополис", утвержденной Губернатором Новосибирской области 22.09.2016.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Результатом реализации Стратегии НТР НСО в сфере развития кластерных проектов будет являться достижение следующих значений показателей по инновационному сценарию к 2030 году: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количество институционально оформленных кластеров на территории Новосибирской области составит 10 единиц;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объем выручки от реализации продукции участников Научно-производственного кластера "Сибирский наукополис" в сопоставимых ценах увеличится в 2 раза по сравнению с 2018 годом.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40"/>
          <w:szCs w:val="48"/>
        </w:rPr>
        <w:outlineLvl w:val="3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32"/>
        </w:rPr>
        <w:t xml:space="preserve">4.1.4. Реиндустриализация экономики. Региональные чемпионы</w:t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40"/>
          <w:szCs w:val="48"/>
        </w:rPr>
        <w:outlineLvl w:val="4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32"/>
        </w:rPr>
        <w:t xml:space="preserve">Новая волна "флагманских" проектов</w:t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32"/>
        </w:rPr>
        <w:t xml:space="preserve">программы реиндустриализации</w:t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Для стимулирования предприятий Новосиби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рской области к внедрению инноваций и технологическому обновлению в Новосибирской области разработана и реализуется программа реиндустриализации экономики Новосибирской области, которая является эффективным инструментом воплощения данных процессов в жизнь.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Ново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сибирская область стала пилотным регионом реиндустриализации России и модельным примером развития страны по несырьевому пути. Реиндустриализация - это новая экономическая политика, направленная на модернизацию и инновационное развитие российской экономики.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Реализации политики реиндустриализации препятствуют те же факторы, которые сдерживают инновационное развитие: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проблема коммуникаций и взаимодействия разработчиков инноваций, инновационных компаний и потенциальных потребителей. Она тесно связана с проблемой формирования спроса на инновации;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проблема продвижения инноваций на глобальном уровне;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проблема аренды/приобретения производственных площадей для развития бизнеса;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недостаточная обеспеченность финансовыми ресурсами, в том числе в связи с ограниченными средствами бюджета на эти цели;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проблема кадрового обеспечения процессов модернизации и внедрения инноваций;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проблема инновационной культуры общества.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Для их прео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доления нужны системные управленческие решения, воплощенные в новой экономической и научно-технологической политике, имеющей четкую региональную специфику. Задача реиндустриализации - устранить эти проблемы и перейти на новое качество экономического роста.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Целью программы реиндустриализации экономики Новосибирской области является ускорение развития экономики Новосибирской области путем создания новых высокотехнологичных отраслей, восстановления и модернизации на базе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принципиально новых технологий действующих производств, позволяющих существенно увеличить выпуск продукции, услуг и производительность труда. Программа предполагает активизацию мощного научно-инновационного и промышленного потенциала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Программой реиндустриализации экономики Новосибирской области выделено десять приоритетных технологических направлений: информационные технологии и телекоммуникации, биотехн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ологии, высокотехнологичная медицина, клеточные технологии, микро-, нано- и биоэлектроника, фотоника, новые инновационные материалы, аддитивные технологии, компьютерное моделирование и конструирование, а также новые технологии в агропромышленном комплексе.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Указанные направления соответствуют основным приоритетам инновационного, технологического, социального и пространственного развития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Основу программы реиндустриализации экономики Новосибирской области составляет перечень "флагманских" комплексных проектов, которые соответствуют отмеченным вы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ше ключевым технологическим направлениям развития Новосибирской области, формируют новую экономику и усиливают конкурентные позиции Новосибирской области в экономическом и инновационном пространстве РФ: "Промышленно-медицинский парк"; "Оксиал" (создание ма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сштабируемого промышленного производства одностенных нанотрубок и наномодификаторов на их основе); "Национальная платформа промышленной автоматизации"; "Промбиотех"; "Биофармполис"; расширение производства телекоммуникационного оборудования на базе ООО "Пр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едприятие "ЭЛТЕКС"; "Реализация технологий инициативы КИТ: Катализаторы, Инжиниринг, Технологии" на базе АО "СКТБ "Катализатор"; Биомедицинский парк "Зеленая долина"; развитие производства медицинских изделий для эндоваскулярной хирургии (ООО "Ангиолайн").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Эти проекты будут реализовываться в различных формах: как инвестиционные проекты по созданию новых производств и как проекты по созданию региональных инновационных кластеров и промышленных парков.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Перечень и наименования проектов не являются окончат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ельными, они могут дополняться и специфицироваться в процессе реализации программы реиндустриализации экономики Новосибирской области. Каждый год происходит ее актуализация за счет включения в нее новых инвестиционных проектов или стратегических инициатив.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Региональная система предоставления мер государственной поддержки органов исполнительной власти в Новосибирской области перестроена так, что приоритет имеют проекты в рамках программы реиндустриализации экономики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Поддерживаются проекты, связанные с организацией производства пром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ышленной и сельскохозяйственной продукции, проведением научно-исследовательских и опытно-конструкторских работ, а также реализацией за рубежом несырьевых товаров российского производства и созданием объектов исследовательской и промышленной инфраструктуры.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Помимо представленных "флагманских" проектов в реестр инвестиционных проектов в рамках программы реиндустриализации экономики Новосибирской области включены следующие проекты: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"Создание участка розлива инъекционных препаратов в соответствии с требованиями GMP" в составе проекта "БиоФармПолис" (реализуется АО "Вектор-БиАльгам");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"Первая фаза комплексного инвестиционного проекта "Организация выпуска крупногабаритных угольных электродов и электродной массы на электрокальцинированном антраците (ЭКА)", реализуемый АО "ЭНЕРГОПРОМ-НовЭЗ".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"Создание промышленного производства полупроводниковых гетероструктур и электронных компонентов на их основе" (реализуется АО "Экран-оптические системы").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Продолжается реализация таких флагманских проектов, как "Кластер микро-, нано- и биоэлектроники", "Металлурго-машиностроительный кластер аддитивных цифровых технологий и производств".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Для достижения целей Стратегии НТР НСО необходимо ускорение динамики реализации и расширение масштаба применения программы реиндустриализации экономики Новосибирской област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и за счет системного поиска и включения в программу новых проектов. В этой связи особую значимость приобретает повышение уровня информированности бизнеса о возможностях и преимуществах участия в программе реиндустриализации экономики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Нужна новая волна "флагманских" проектов программы реиндустриализации экономики Новосибирской области. Такими проектами в сфере биотехнологий могут быть: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"Завод по переработке картофеля в ксантановую камедь и модифицированные крахмалы";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"Создание биотехнологического комплекса по глубокой переработке зерновых культур. Производство крахмала и глюкозы. Производство лизина. Производство высокоэффективных кормовых добавок".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Будущие проекты программы реиндустриализации экономики Новосибирско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й области также должны соответствовать отмеченным выше ключевым технологическим направлениям развития Новосибирской области, формировать новую экономику и усиливать конкурентные позиции Новосибирской области в экономическом и инновационном пространстве РФ.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40"/>
          <w:szCs w:val="48"/>
        </w:rPr>
        <w:outlineLvl w:val="4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32"/>
        </w:rPr>
        <w:t xml:space="preserve">Региональные чемпионы</w:t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 2016 года Минэкономразвития России реализует приоритетный проект "Поддержка частных высокотехнологических компаний-лидеров" (далее - проект "Нац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иональные чемпионы"), направленный на обеспечение опережающего роста российских высокотехнологических компаний-лидеров. В рамках проекта предоставляется поддержка компаниям в виде организационного содействия в получении доступа к существующим инструментам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государственной поддержки, в том числе в рамках деятельности институтов развития, а также осуществление информационно-консультационного сопровождения проектов компаний-лидеров как по развитию их деятельности внутри страны, так и по выходу на мировой рынок.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Сформирован Совет проекта, в состав которого помимо экспертов Минэкономразвития России вошли внешние экспе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рты, в числе которых представители Минпромторга России, Минобрнауки России, РВК, АСИ, НИУ ВШЭ, Российского экспортного центра, Российского фонда прямых инвестиций, Фонда содействия инновациям, Фонда развития промышленности и других заинтересованных сторон.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От Новосибирской области в число "Национальных чемпионов" вошли АО "СКТБ "Катализатор" и ООО "Предприятие "ЭЛТЕКС", реализующие "флагманские" проекты программы реиндустриализации экономики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 2018 году одним из направлений развития проекта "Национальные чемпионы" явился запуск аналогичных проектов в субъектах РФ для выявления развития инновационных компаний-лидеров на региональном уровне - проект "Региональные чемпионы".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Персональная информационно-консультационная подде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ржка, содействие во взаимодействии с органами власти и институтами развития и другие механизмы поддержки востребованы частными инновационными компаниями и позволяют им активнее развиваться и выходить на новые рынки. Запуск в Новосибирской области проекта "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Региональные чемпионы" по поддержке технологического бизнеса позволит повысить объем высокотехнологичного экспорта и объем продаж таких компаний, в том числе на рынках НТИ, наладить механизм по регулярному устранению административных барьеров для компаний.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Реализация проект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а "Региональные чемпионы" при поддержке Минэкономразвития России должна стать пилотной базой для выработки лучших региональных практик в выявлении и развитии частных компаний, успешно функционирующих в сфере высоких технологий, а также должна позволить не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только обеспечить поддержку стабильно растущих высокотехнологических компаний региона, но и создать условия для привлечения внимания к проекту малых инновационных компаний, обладающих потенциалом значительного роста производства и экспорта своей продукции.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Проект "Региональные чемпионы" дополняет программу реиндустриализации экономики Новосибирской области. По своей сути программа реиндустриализации экономики Новосибирской области предст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авляет собой "инвестиционный лифт" и направлена на поиск новых проектов и их поддержку. Проект "Региональные чемпионы" будет направлен на стабильные компании, достигшие определенных успехов в технологическом развитии и имеющие большой экспортный потенциал.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Потенциальными участниками проекта "Региональные чемпионы" могут стать такие компании, как ООО "Оксиал.ру", ООО ПО "Сиббиофарм", ООО "Ангиолайн", АО "Вектор-БиАльгам" и другие.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  <w:t xml:space="preserve">В целях реализации проекта подписано соглашение между Правительством Новосибирской области и Минэкономразвития России.</w:t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  <w:r>
        <w:rPr>
          <w:rFonts w:ascii="Times New Roman" w:hAnsi="Times New Roman" w:cs="Times New Roman"/>
          <w:b w:val="0"/>
          <w:i w:val="0"/>
          <w:strike w:val="0"/>
          <w:sz w:val="40"/>
          <w:szCs w:val="4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379344&amp;dst=100016" TargetMode="External"/><Relationship Id="rId9" Type="http://schemas.openxmlformats.org/officeDocument/2006/relationships/hyperlink" Target="https://login.consultant.ru/link/?req=doc&amp;base=LAW&amp;n=358026" TargetMode="External"/><Relationship Id="rId10" Type="http://schemas.openxmlformats.org/officeDocument/2006/relationships/hyperlink" Target="https://login.consultant.ru/link/?req=doc&amp;base=LAW&amp;n=358026" TargetMode="External"/><Relationship Id="rId11" Type="http://schemas.openxmlformats.org/officeDocument/2006/relationships/hyperlink" Target="https://login.consultant.ru/link/?req=doc&amp;base=RLAW049&amp;n=100976&amp;dst=100018" TargetMode="External"/><Relationship Id="rId12" Type="http://schemas.openxmlformats.org/officeDocument/2006/relationships/hyperlink" Target="https://login.consultant.ru/link/?req=doc&amp;base=RLAW049&amp;n=124472&amp;dst=100008" TargetMode="External"/><Relationship Id="rId13" Type="http://schemas.openxmlformats.org/officeDocument/2006/relationships/hyperlink" Target="https://login.consultant.ru/link/?req=doc&amp;base=RLAW049&amp;n=90204&amp;dst=100010" TargetMode="External"/><Relationship Id="rId14" Type="http://schemas.openxmlformats.org/officeDocument/2006/relationships/hyperlink" Target="https://login.consultant.ru/link/?req=doc&amp;base=RLAW049&amp;n=54596&amp;dst=10001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2024-12-06T09:08:24Z</dcterms:modified>
</cp:coreProperties>
</file>