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науки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инновационной политики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25.01.2024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19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623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  <w:t xml:space="preserve">ОБ</w:t>
      </w:r>
      <w:bookmarkStart w:id="0" w:name="_GoBack"/>
      <w:r/>
      <w:bookmarkEnd w:id="0"/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  <w:t xml:space="preserve">ЪЯВЛЕНИЕ</w:t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проведении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конкурса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предоставление грантов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молодым ученым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далее – министерство) объявляет о проведении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2024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грантов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молодым ученым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конкурс, гранты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Style w:val="909"/>
        <w:tblpPr w:horzAnchor="text" w:tblpXSpec="righ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854"/>
        <w:gridCol w:w="7057"/>
      </w:tblGrid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(дата и время начала (окончания) подачи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участия в конкурсе руководитель проекта имеет право представить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в период с 00:00 (по местному времени)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23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:59 (по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местному времени)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в будние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е дни с 09:00 до 16:30 (по местному времени) в период с 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2024.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 министерства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Наименование: министерство науки и инновационной политики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нахождение: г. Новосибирск, ул. Сибревкома, 2, этаж 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630007, г. Новосибирск, Красный проспект, 18.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minnauki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Результат предоставления гранта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соответствии с пунктом 34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Порядка предоставления грантов Правительства Новосибирской области молодым ученым, утвержденным постановлением Правительства Новосибирской области от 15.11.2010 № 212-п «Об именных премиях Правительства Новосибирской области, именных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ипендиях Правительства Новосибирской области, о грантах Правительства Новосибирской области» (далее – Порядок), результатом предоставления гранта является выполнение работ по проекту в соответствии с планом работ по выполнению проекта, приведенном в заявке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участие 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Результат предоставления гранта измеряется в процентах на основании представленной информации в отчетах, указанных в пункте 37 Порядка, при этом работы по проекту должны быть выполнены не менее чем на 80% от указанных в плане работ по выполнению проекта.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Для участия в конкурсе соискатель им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еет право представить документы: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(в период с 00:00 (по местному времени)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23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:59 (по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местному времени)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 – путем размещения в электронном виде в государственной                информационной системе Новосибирской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Автоматизированная информационная система управления процессами оказания мер государственной (муниципальной) 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(http://gospoddergka.nso.ru) (далее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АИС) в разделе                        «Предоставление именных премий Правительства Новосибирской области за выдающиеся научные достижения». Датой подачи документов считается дата, присвоенная заявке в АИС;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(в будние дни с 09:00 до 16:30 (по местному времени) в период с 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.2024) – путем предоставления документов в министерство по адресу: г. Новосибирск, ул. Сибревкома, 2, этаж 5, кабинет 516.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заявки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носителе, документы вкладываются в конверт с надписью: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соискание гранта Правительства Новосибирской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указанием фамилии, имени, отчества (при наличии) руководителя проекта. Датой подачи документов считается дата регистрации заявки в министерстве. Регистрация заявки в министерстве осуществляется в день ее поступления.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Требования к участникам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и перечень документов представляемых участниками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для подтверждения их соответствия указанным требованиям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Требования, которым должен соответствовать научный коллектив 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первое число месяца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подачи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 руководителя проекта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 руководителя проекта должна отсутствовать просроченная задолженность по возврату в областно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 бюджет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Новосибирской области;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руководитель проекта не должен получать средства из областного бюджета Новосибирской области на основании нормативных правовых актов Новосибирской области на цели, установленные Порядком.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участия в конкурсе руководитель проекта (уполномоченное лицо) предоставляет в министерство заявку по форме утвержденной приказом министерства, состоящую из следующих документов: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сведения о научном коллективе (составляется на каждого члена научного коллектива, за искл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ючением руководителя проекта);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 проекте (в том числе содержащую целевые показатели проекта, обоснование достижимости решения поставленных задач и возможности получения запланированных результатов);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перечень планируемых затрат на реализацию 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оекта         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 расшифровкой затрат);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выписка из протокола заседания совета о выдвижении научного коллектива для участия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е, с представлением, характеризующим научные достижения членов научного коллектива, заверенная подписью секретаря и председателя совета, по форме, установленной приказом министерства;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копии паспортов всех членов научного коллектива, включая руководителя проекта (2 и 3 страницы, а также страницы, на которых проставлены отметки о регистрации и снятии с регистрационного учета по месту жительства);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4) копия документа, подтверждающего наличие у руководителя проекта ученой степени;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5) документ кредитной организации с указанием реквизитов счета руководителя проекта для перечисления гранта;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6) копии сертификатов, дипломов, договоров, соглашений, рецензий, отзывов, подтверждающих признание научных достижений научного коллектива экспертным сообществом (при наличии);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7) согласие на обработку и передачу персональных данных по форме, установленной приказом министерства (далее – согласие).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случае подачи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 бумажном носителе согласие составляется на каждого члена научного коллектива, включая руководителя проекта, и представляется руководителем проекта в составе документов.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случае подачи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электронном виде согласие составляется на каждого члена научного коллектива за исключением руководителя проекта.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Документы, указанные в данном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разделе настоящего Объявления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должны содержать исчерпывающую информацию о проекте в объеме, позволяющем провести объективную оценку соответствия критериям оценки заявок, изложенным в пункте 18 Порядка.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Руководитель проекта имеет право представить для участия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только 1 проект.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подачи заявок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участниками конкурса и требования, предъявляемые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к форме и содержанию заявок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6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соответствии с Порядком,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тся в электронном виде или на бумажном носителе. Форма и содержание указанных документов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утверждены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министерства науки и инновационной политики Новосибирской области от 06.05.2020 № 33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 утверждении конкурсной документации для 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предоставление грантов правительства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новосибирской области молодым ученым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отзыва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порядок возврата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определяющего в том числе основания для возврата з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аявок участников конкурса, порядок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внесения изменений в заявки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Зарегистрированная для участия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заявка может быть отозвана руководителем проекта до дня заседания конкурсной комиссии путем направления письменного заявления в министерство.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Поданная на бумажном носителе и отозванная в соответствии с пунктом 13 Порядка заявка может быть возвращена руководителю проекта по его письменному заявлению в министерство до окончания срока приема документов.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Документы, представленные в соответствии с пунктом 11 Порядка, не подлежат изменениям, корректировке, дополнениям.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Правила рассмотрения заявок и оценки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Министерство в течение 20 рабочих дней со дня окончания срока приема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рассматривает представленные документы;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принимает решение о признании либо об отказе в признании научных коллективов участниками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(далее – отказ);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направляет уведомление об отказе руководителю проекта на адрес электронной почты, указанный им в заявке, в течение 5 рабочих дней со дня принятия решения об отказе (в случае принятия решения об отказе);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4) передает заявки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конкурсную комиссию.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Конкурсная комиссия в течение 15 рабочих дней со дня поступления из министерства заявок: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рассматривает представленные заявки;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оценивает качественные и количественные характеристики проектов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соответствии с критериями оценки заявок в баллах;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формирует общий рейтинг заявок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принимает решение об определении победителей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(указанное решение отражается в протоколе заседания конкурсной комиссии).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предоставления участникам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разъяснений положений объявления о проведении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даты начала и окончания срока такого предоставления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contextualSpacing/>
              <w:ind w:firstLine="28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вопросам проведения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оформления документации можно обращаться к Ямаловой Камилле Идрисовне, главному специалисту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отдела государственной поддержки, популяризации науки и инновационной деятельност</w:t>
            </w:r>
            <w:r>
              <w:rPr>
                <w:rFonts w:ascii="Times New Roman" w:hAnsi="Times New Roman"/>
                <w:lang w:eastAsia="ru-RU"/>
              </w:rPr>
              <w:t xml:space="preserve">и у</w:t>
            </w:r>
            <w:r>
              <w:rPr>
                <w:rFonts w:ascii="Times New Roman" w:hAnsi="Times New Roman"/>
                <w:lang w:eastAsia="ru-RU"/>
              </w:rPr>
              <w:t xml:space="preserve">правлени</w:t>
            </w:r>
            <w:r>
              <w:rPr>
                <w:rFonts w:ascii="Times New Roman" w:hAnsi="Times New Roman"/>
                <w:lang w:eastAsia="ru-RU"/>
              </w:rPr>
              <w:t xml:space="preserve">я</w:t>
            </w:r>
            <w:r>
              <w:rPr>
                <w:rFonts w:ascii="Times New Roman" w:hAnsi="Times New Roman"/>
                <w:lang w:eastAsia="ru-RU"/>
              </w:rPr>
              <w:t xml:space="preserve"> научной и инновационной политики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министерства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науки и инновационной политики Новосибирской области (тел. 228-63-40,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yaki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@nso.ru).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firstLine="28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Порядка предоставляются в течение периода проведения процедур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предусмотренных Порядком.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Срок, в течение которого победители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должны подписать договор о предоставлении из областного бюджета Новосибирской области физическому лицу гранта в форме субсидии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Победители конкурса должны подписать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оговор о предоставлении из областного бюджета Новосибирской области физическому лицу гранта в форме субсидии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(далее 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оговора о предоставлении гранта)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течение 2 месяцев с даты принятия распоряжения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Правительства Новосибирской области о предоставлении грантов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Условия признания победителя (победителей)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уклонившимся от заключения договора о предоставлении гранта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соответствии с пунктом 26 Порядка, уклонение от подписания договора о предоставлении гранта является основанием для отказа получателю гранта в предоставлении гранта.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Дата размещения результатов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на едином портале, на официальном сайте министерства в информационно-телекоммуникационной сети «Интернет»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Информация о результатах конкурса размещается в течение 3 рабочих дней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 даты принятия распоряжения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Правительства Новосибирской области о предоставлении грантов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поддержки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Размер гранта определяется запрашиваемым объемом финансирования, но не может превышать 500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000 рублей (включая сумму налога на доходы физических лиц).</w:t>
            </w:r>
            <w:r>
              <w:rPr>
                <w:rFonts w:eastAsia="Calibri"/>
                <w:sz w:val="24"/>
                <w:szCs w:val="24"/>
              </w:rPr>
              <w:t xml:space="preserve"> Ежегодно предоставляется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30</w:t>
            </w:r>
            <w:r>
              <w:rPr>
                <w:rFonts w:eastAsia="Calibri"/>
                <w:sz w:val="24"/>
                <w:szCs w:val="24"/>
              </w:rPr>
              <w:t xml:space="preserve"> грантов.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затрат, на которые может использоваться грант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Гранты могут использоваться только на цели, указанные в пункте 2 Порядка, путем осуществления расходов в соответствии с заявкой по следующим направлениям: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вознаграждение руководителю проекта;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оплата труда научного коллектива;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риобретение специального оборудования, расходных материалов, комплектующих, необходимых для выполнения проекта;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4)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транспортные расходы на поездки, совершае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мые в целях реализации проекта;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5)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оплата выполнения работ, оказания услуг сторонними организациями, направленных на реализацию проекта;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6)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публикации по теме проекта;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оплата государственной пошлины на регистрацию интеллектуальной собственности по теме проекта.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Общий размер вознаграждения руководителя проекта не должен превышать 50% от суммы оплаты труда всех исполнителей проекта. Вознаграждение за выполнение работ по реализации проекта должен получ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ить каждый исполнитель проекта.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выполнения проектов допускаются поездки исполнителей проекта (включая руководителя) с целью работы по теме проекта в архивах, библиотеках и проведения полевых исследований, а также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выступления с докладами по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теме проводимых исследований (в соответствии со сроками проведения мероприятия). Максимальное суммарное время пребывания в поездках для одного исполнителя научного проекта составляет не более 30 дней в текущем году.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Расходы на оплату услуг сторонних организаций не должны превышать 50% от планируемого объема финансирования проекта.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Расходы на приобретение расходных материалов не должны превышать 50% от планируемого объема финансирования проекта.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случае возникновения в ходе реализации проекта отклонений от  планируемых расходов, представленных в заявке, руководитель проекта (получател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 гранта) оформляет и представляет в соответствии с абзацем 6 подпункта 1 пункта 37 Порядка пояснение с обоснованием указанного отклонения (при условии, что данные отклонения не влияют на достижения заявленных целей реализации проекта и его результатов).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Категории соискателей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имеющих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предоставление грантов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проведении </w:t>
            </w:r>
            <w:r>
              <w:rPr>
                <w:rFonts w:eastAsia="Calibri"/>
                <w:sz w:val="24"/>
                <w:szCs w:val="24"/>
              </w:rPr>
              <w:t xml:space="preserve">конкурса</w:t>
            </w:r>
            <w:r>
              <w:rPr>
                <w:rFonts w:eastAsia="Calibri"/>
                <w:sz w:val="24"/>
                <w:szCs w:val="24"/>
              </w:rPr>
              <w:t xml:space="preserve"> участвуют научные коллек</w:t>
            </w:r>
            <w:r>
              <w:rPr>
                <w:rFonts w:eastAsia="Calibri"/>
                <w:sz w:val="24"/>
                <w:szCs w:val="24"/>
              </w:rPr>
              <w:t xml:space="preserve">тивы численностью до 4 человек (включая руководителя проекта), занимающиеся научной (научно-исследовательской), научно-технической, инновационной деятельностью в научных организациях или образовательных организациях высшего образования, расположенных на те</w:t>
            </w:r>
            <w:r>
              <w:rPr>
                <w:rFonts w:eastAsia="Calibri"/>
                <w:sz w:val="24"/>
                <w:szCs w:val="24"/>
              </w:rPr>
              <w:t xml:space="preserve">рритории Новосибирской области.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Руководителем проекта является научный работник, научно-педагогический работник, имеющий ученую степе</w:t>
            </w:r>
            <w:r>
              <w:rPr>
                <w:rFonts w:eastAsia="Calibri"/>
                <w:sz w:val="24"/>
                <w:szCs w:val="24"/>
              </w:rPr>
              <w:t xml:space="preserve">нь кандидата либо доктора наук </w:t>
            </w:r>
            <w:r>
              <w:rPr>
                <w:rFonts w:eastAsia="Calibri"/>
                <w:sz w:val="24"/>
                <w:szCs w:val="24"/>
              </w:rPr>
              <w:t xml:space="preserve">в возрасте до 40 лет (включительно) на дату подачи </w:t>
            </w:r>
            <w:r>
              <w:rPr>
                <w:rFonts w:eastAsia="Calibri"/>
                <w:sz w:val="24"/>
                <w:szCs w:val="24"/>
              </w:rPr>
              <w:t xml:space="preserve">документов для участия в конкурсе.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Членами научного коллектива являются: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студенты, магистранты, аспиранты в возрасте до 35 лет (включительно) на дату подачи документов;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докторанты, научные работники, научно-педагогические работники в возрасте до 40 лет (включительно) на дату подачи документов.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Порядок выдвижения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сои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скателей для участия в конкурсе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Выдвижение научных коллективов для участия в </w:t>
            </w:r>
            <w:r>
              <w:rPr>
                <w:rFonts w:eastAsia="Calibri"/>
                <w:sz w:val="24"/>
                <w:szCs w:val="24"/>
              </w:rPr>
              <w:t xml:space="preserve">конкурс</w:t>
            </w:r>
            <w:r>
              <w:rPr>
                <w:rFonts w:eastAsia="Calibri"/>
                <w:sz w:val="24"/>
                <w:szCs w:val="24"/>
              </w:rPr>
              <w:t xml:space="preserve">е осуществляется на заседании ученого (научного, научно-технического) совета организации</w:t>
            </w:r>
            <w:r>
              <w:rPr>
                <w:rFonts w:eastAsia="Calibri"/>
                <w:sz w:val="24"/>
                <w:szCs w:val="24"/>
              </w:rPr>
              <w:t xml:space="preserve">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имеет право представить не более 1 научного коллектива с идентичным составом для участия в </w:t>
            </w:r>
            <w:r>
              <w:rPr>
                <w:rFonts w:eastAsia="Calibri"/>
                <w:sz w:val="24"/>
                <w:szCs w:val="24"/>
              </w:rPr>
              <w:t xml:space="preserve">конкурс</w:t>
            </w:r>
            <w:r>
              <w:rPr>
                <w:rFonts w:eastAsia="Calibri"/>
                <w:sz w:val="24"/>
                <w:szCs w:val="24"/>
              </w:rPr>
              <w:t xml:space="preserve">е.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проекта в рамках проведения </w:t>
            </w:r>
            <w:r>
              <w:rPr>
                <w:rFonts w:eastAsia="Calibri"/>
                <w:sz w:val="24"/>
                <w:szCs w:val="24"/>
              </w:rPr>
              <w:t xml:space="preserve">конкурса</w:t>
            </w:r>
            <w:r>
              <w:rPr>
                <w:rFonts w:eastAsia="Calibri"/>
                <w:sz w:val="24"/>
                <w:szCs w:val="24"/>
              </w:rPr>
              <w:t xml:space="preserve"> имеет право подать 1 заявку.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10"/>
              <w:ind w:firstLine="265"/>
              <w:jc w:val="both"/>
              <w:tabs>
                <w:tab w:val="left" w:pos="6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проекта не вправе участвовать в конкурсах на присуждение именных премий Правительства Новосибирской области за выдающиеся научные достижения, на выделение именных стипендий Правительства Новосибирской области в год участия в </w:t>
            </w:r>
            <w:r>
              <w:rPr>
                <w:rFonts w:eastAsia="Calibri"/>
                <w:sz w:val="24"/>
                <w:szCs w:val="24"/>
              </w:rPr>
              <w:t xml:space="preserve">конкурс</w:t>
            </w:r>
            <w:r>
              <w:rPr>
                <w:rFonts w:eastAsia="Calibri"/>
                <w:sz w:val="24"/>
                <w:szCs w:val="24"/>
              </w:rPr>
              <w:t xml:space="preserve">е.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0264574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6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  <w:p>
        <w:pPr>
          <w:pStyle w:val="911"/>
          <w:jc w:val="center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Heading 1"/>
    <w:basedOn w:val="897"/>
    <w:next w:val="897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>
    <w:name w:val="Heading 1 Char"/>
    <w:basedOn w:val="899"/>
    <w:link w:val="725"/>
    <w:uiPriority w:val="9"/>
    <w:rPr>
      <w:rFonts w:ascii="Arial" w:hAnsi="Arial" w:eastAsia="Arial" w:cs="Arial"/>
      <w:sz w:val="40"/>
      <w:szCs w:val="40"/>
    </w:rPr>
  </w:style>
  <w:style w:type="paragraph" w:styleId="727">
    <w:name w:val="Heading 2"/>
    <w:basedOn w:val="897"/>
    <w:next w:val="897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>
    <w:name w:val="Heading 2 Char"/>
    <w:basedOn w:val="899"/>
    <w:link w:val="727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basedOn w:val="899"/>
    <w:link w:val="729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899"/>
    <w:link w:val="898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9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9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9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9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7"/>
    <w:next w:val="89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9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9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9"/>
    <w:link w:val="911"/>
    <w:uiPriority w:val="99"/>
  </w:style>
  <w:style w:type="character" w:styleId="752">
    <w:name w:val="Footer Char"/>
    <w:basedOn w:val="899"/>
    <w:link w:val="913"/>
    <w:uiPriority w:val="99"/>
  </w:style>
  <w:style w:type="paragraph" w:styleId="753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13"/>
    <w:uiPriority w:val="99"/>
  </w:style>
  <w:style w:type="table" w:styleId="755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9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9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8">
    <w:name w:val="Heading 4"/>
    <w:basedOn w:val="897"/>
    <w:next w:val="897"/>
    <w:link w:val="908"/>
    <w:uiPriority w:val="9"/>
    <w:qFormat/>
    <w:pPr>
      <w:ind w:firstLine="34"/>
      <w:jc w:val="both"/>
      <w:keepNext/>
      <w:spacing w:before="360" w:after="0" w:line="240" w:lineRule="atLeast"/>
      <w:widowControl w:val="off"/>
      <w:outlineLvl w:val="3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character" w:styleId="902">
    <w:name w:val="Hyperlink"/>
    <w:uiPriority w:val="99"/>
    <w:unhideWhenUsed/>
    <w:rPr>
      <w:color w:val="1373b8"/>
      <w:u w:val="single"/>
    </w:rPr>
  </w:style>
  <w:style w:type="paragraph" w:styleId="903">
    <w:name w:val="Normal (Web)"/>
    <w:basedOn w:val="89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4">
    <w:name w:val="Strong"/>
    <w:uiPriority w:val="22"/>
    <w:qFormat/>
    <w:rPr>
      <w:b/>
      <w:bCs/>
    </w:rPr>
  </w:style>
  <w:style w:type="paragraph" w:styleId="905">
    <w:name w:val="List Paragraph"/>
    <w:basedOn w:val="897"/>
    <w:uiPriority w:val="34"/>
    <w:qFormat/>
    <w:pPr>
      <w:contextualSpacing/>
      <w:ind w:left="720"/>
    </w:pPr>
  </w:style>
  <w:style w:type="paragraph" w:styleId="906">
    <w:name w:val="Balloon Text"/>
    <w:basedOn w:val="897"/>
    <w:link w:val="9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link w:val="90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08" w:customStyle="1">
    <w:name w:val="Заголовок 4 Знак"/>
    <w:basedOn w:val="899"/>
    <w:link w:val="898"/>
    <w:uiPriority w:val="9"/>
    <w:rPr>
      <w:rFonts w:ascii="Times New Roman" w:hAnsi="Times New Roman" w:eastAsia="Times New Roman"/>
      <w:sz w:val="28"/>
      <w:szCs w:val="28"/>
    </w:rPr>
  </w:style>
  <w:style w:type="table" w:styleId="909">
    <w:name w:val="Table Grid"/>
    <w:basedOn w:val="9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ConsPlusNormal"/>
    <w:qFormat/>
    <w:rPr>
      <w:rFonts w:ascii="Times New Roman" w:hAnsi="Times New Roman" w:eastAsia="Times New Roman"/>
      <w:sz w:val="12"/>
      <w:szCs w:val="12"/>
      <w:lang w:eastAsia="en-US"/>
    </w:rPr>
  </w:style>
  <w:style w:type="paragraph" w:styleId="911">
    <w:name w:val="Header"/>
    <w:basedOn w:val="897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899"/>
    <w:link w:val="911"/>
    <w:uiPriority w:val="99"/>
    <w:rPr>
      <w:sz w:val="22"/>
      <w:szCs w:val="22"/>
      <w:lang w:eastAsia="en-US"/>
    </w:rPr>
  </w:style>
  <w:style w:type="paragraph" w:styleId="913">
    <w:name w:val="Footer"/>
    <w:basedOn w:val="897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899"/>
    <w:link w:val="913"/>
    <w:uiPriority w:val="99"/>
    <w:rPr>
      <w:sz w:val="22"/>
      <w:szCs w:val="22"/>
      <w:lang w:eastAsia="en-US"/>
    </w:rPr>
  </w:style>
  <w:style w:type="character" w:styleId="915">
    <w:name w:val="FollowedHyperlink"/>
    <w:basedOn w:val="899"/>
    <w:uiPriority w:val="99"/>
    <w:semiHidden/>
    <w:unhideWhenUsed/>
    <w:rPr>
      <w:color w:val="800080" w:themeColor="followedHyperlink"/>
      <w:u w:val="single"/>
    </w:rPr>
  </w:style>
  <w:style w:type="table" w:styleId="916" w:customStyle="1">
    <w:name w:val="Сетка таблицы1"/>
    <w:basedOn w:val="900"/>
    <w:next w:val="90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Знак Знак Знак Знак"/>
    <w:basedOn w:val="897"/>
    <w:pPr>
      <w:jc w:val="both"/>
      <w:spacing w:before="40"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18" w:customStyle="1">
    <w:name w:val="Сетка таблицы2"/>
    <w:basedOn w:val="900"/>
    <w:next w:val="90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Body Text"/>
    <w:basedOn w:val="897"/>
    <w:link w:val="920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20" w:customStyle="1">
    <w:name w:val="Основной текст Знак"/>
    <w:basedOn w:val="899"/>
    <w:link w:val="919"/>
    <w:uiPriority w:val="99"/>
    <w:rPr>
      <w:rFonts w:ascii="Times New Roman" w:hAnsi="Times New Roman" w:eastAsia="Times New Roman"/>
      <w:sz w:val="28"/>
      <w:szCs w:val="28"/>
    </w:rPr>
  </w:style>
  <w:style w:type="character" w:styleId="921">
    <w:name w:val="annotation reference"/>
    <w:basedOn w:val="899"/>
    <w:uiPriority w:val="99"/>
    <w:semiHidden/>
    <w:unhideWhenUsed/>
    <w:rPr>
      <w:sz w:val="16"/>
      <w:szCs w:val="16"/>
    </w:rPr>
  </w:style>
  <w:style w:type="paragraph" w:styleId="922">
    <w:name w:val="annotation text"/>
    <w:basedOn w:val="897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899"/>
    <w:link w:val="922"/>
    <w:uiPriority w:val="99"/>
    <w:semiHidden/>
    <w:rPr>
      <w:lang w:eastAsia="en-US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F77B-F753-4B30-AFA9-9FA2F8A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Мэрия города Новосибирска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revision>15</cp:revision>
  <dcterms:created xsi:type="dcterms:W3CDTF">2023-05-19T09:01:00Z</dcterms:created>
  <dcterms:modified xsi:type="dcterms:W3CDTF">2024-01-25T05:31:29Z</dcterms:modified>
</cp:coreProperties>
</file>